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样本编号：59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59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微服务架构下API网关选型与配置方案</w:t>
      </w:r>
    </w:p>
    <w:p/>
    <w:p>
      <w:pPr>
        <w:pStyle w:val="Heading2"/>
      </w:pPr>
      <w:r>
        <w:rPr>
          <w:sz w:val="25"/>
        </w:rPr>
        <w:t>一、概述与背景</w:t>
      </w:r>
    </w:p>
    <w:p/>
    <w:p>
      <w:pPr>
        <w:pStyle w:val="Heading3"/>
      </w:pPr>
      <w:r>
        <w:rPr>
          <w:sz w:val="23"/>
        </w:rPr>
        <w:t>1.1 微服务架构中的API网关定位</w:t>
      </w:r>
    </w:p>
    <w:p>
      <w:r>
        <w:rPr>
          <w:sz w:val="21"/>
        </w:rPr>
        <w:t>在微服务架构中，API网关作为</w:t>
      </w:r>
      <w:r>
        <w:rPr>
          <w:b/>
          <w:sz w:val="21"/>
        </w:rPr>
        <w:t>统一入口层</w:t>
      </w:r>
      <w:r>
        <w:rPr>
          <w:sz w:val="21"/>
        </w:rPr>
        <w:t>，承担着请求路由、协议转换、安全控制、流量管理等核心职责。随着服务数量从个位数增长到数十甚至上百个，服务间通信复杂度呈指数级上升，API网关成为微服务架构的</w:t>
      </w:r>
      <w:r>
        <w:rPr>
          <w:b/>
          <w:sz w:val="21"/>
        </w:rPr>
        <w:t>关键基础设施组件</w:t>
      </w:r>
      <w:r>
        <w:rPr>
          <w:sz w:val="21"/>
        </w:rPr>
        <w:t>。</w:t>
      </w:r>
    </w:p>
    <w:p/>
    <w:p>
      <w:pPr>
        <w:pStyle w:val="Heading3"/>
      </w:pPr>
      <w:r>
        <w:rPr>
          <w:sz w:val="23"/>
        </w:rPr>
        <w:t>1.2 核心价值体现</w:t>
      </w:r>
    </w:p>
    <w:p>
      <w:pPr>
        <w:pStyle w:val="ListBullet"/>
      </w:pPr>
      <w:r>
        <w:rPr>
          <w:b/>
          <w:sz w:val="21"/>
        </w:rPr>
        <w:t>客户端简化</w:t>
      </w:r>
      <w:r>
        <w:rPr>
          <w:sz w:val="21"/>
        </w:rPr>
        <w:t>：为前端应用提供统一API端点，隐藏后端服务拓扑</w:t>
      </w:r>
    </w:p>
    <w:p>
      <w:pPr>
        <w:pStyle w:val="ListBullet"/>
      </w:pPr>
      <w:r>
        <w:rPr>
          <w:b/>
          <w:sz w:val="21"/>
        </w:rPr>
        <w:t>横切关注点集中处理</w:t>
      </w:r>
      <w:r>
        <w:rPr>
          <w:sz w:val="21"/>
        </w:rPr>
        <w:t>：认证、限流、监控等非业务功能统一实现</w:t>
      </w:r>
    </w:p>
    <w:p>
      <w:pPr>
        <w:pStyle w:val="ListBullet"/>
      </w:pPr>
      <w:r>
        <w:rPr>
          <w:b/>
          <w:sz w:val="21"/>
        </w:rPr>
        <w:t>架构解耦</w:t>
      </w:r>
      <w:r>
        <w:rPr>
          <w:sz w:val="21"/>
        </w:rPr>
        <w:t>：允许后端服务独立演进，不影响客户端</w:t>
      </w:r>
    </w:p>
    <w:p>
      <w:pPr>
        <w:pStyle w:val="ListBullet"/>
      </w:pPr>
      <w:r>
        <w:rPr>
          <w:b/>
          <w:sz w:val="21"/>
        </w:rPr>
        <w:t>运维标准化</w:t>
      </w:r>
      <w:r>
        <w:rPr>
          <w:sz w:val="21"/>
        </w:rPr>
        <w:t>：统一的安全策略、流量控制和服务治理</w:t>
      </w:r>
    </w:p>
    <w:p/>
    <w:p>
      <w:pPr>
        <w:pStyle w:val="Heading2"/>
      </w:pPr>
      <w:r>
        <w:rPr>
          <w:sz w:val="25"/>
        </w:rPr>
        <w:t>二、选型评估框架</w:t>
      </w:r>
    </w:p>
    <w:p/>
    <w:p>
      <w:pPr>
        <w:pStyle w:val="Heading3"/>
      </w:pPr>
      <w:r>
        <w:rPr>
          <w:sz w:val="23"/>
        </w:rPr>
        <w:t>2.1 技术选型维度矩阵</w:t>
      </w:r>
    </w:p>
    <w:p/>
    <w:p>
      <w:r>
        <w:rPr>
          <w:sz w:val="21"/>
        </w:rPr>
        <w:t>| 评估维度 | 权重 | 评估要点 |</w:t>
      </w:r>
    </w:p>
    <w:p>
      <w:r>
        <w:rPr>
          <w:sz w:val="21"/>
        </w:rPr>
        <w:t>|---------|------|---------|</w:t>
      </w:r>
    </w:p>
    <w:p>
      <w:r>
        <w:rPr>
          <w:sz w:val="21"/>
        </w:rPr>
        <w:t xml:space="preserve">| </w:t>
      </w:r>
      <w:r>
        <w:rPr>
          <w:b/>
          <w:sz w:val="21"/>
        </w:rPr>
        <w:t>性能与扩展性</w:t>
      </w:r>
      <w:r>
        <w:rPr>
          <w:sz w:val="21"/>
        </w:rPr>
        <w:t xml:space="preserve"> | 25% | 吞吐量、延迟、水平扩展能力、资源消耗 |</w:t>
      </w:r>
    </w:p>
    <w:p>
      <w:r>
        <w:rPr>
          <w:sz w:val="21"/>
        </w:rPr>
        <w:t xml:space="preserve">| </w:t>
      </w:r>
      <w:r>
        <w:rPr>
          <w:b/>
          <w:sz w:val="21"/>
        </w:rPr>
        <w:t>功能完备性</w:t>
      </w:r>
      <w:r>
        <w:rPr>
          <w:sz w:val="21"/>
        </w:rPr>
        <w:t xml:space="preserve"> | 20% | 路由、认证、限流、熔断、监控、插件生态 |</w:t>
      </w:r>
    </w:p>
    <w:p>
      <w:r>
        <w:rPr>
          <w:sz w:val="21"/>
        </w:rPr>
        <w:t xml:space="preserve">| </w:t>
      </w:r>
      <w:r>
        <w:rPr>
          <w:b/>
          <w:sz w:val="21"/>
        </w:rPr>
        <w:t>易用性与运维</w:t>
      </w:r>
      <w:r>
        <w:rPr>
          <w:sz w:val="21"/>
        </w:rPr>
        <w:t xml:space="preserve"> | 15% | 配置复杂度、部署难度、监控告警、文档质量 |</w:t>
      </w:r>
    </w:p>
    <w:p>
      <w:r>
        <w:rPr>
          <w:sz w:val="21"/>
        </w:rPr>
        <w:t xml:space="preserve">| </w:t>
      </w:r>
      <w:r>
        <w:rPr>
          <w:b/>
          <w:sz w:val="21"/>
        </w:rPr>
        <w:t>社区与生态</w:t>
      </w:r>
      <w:r>
        <w:rPr>
          <w:sz w:val="21"/>
        </w:rPr>
        <w:t xml:space="preserve"> | 15% | 社区活跃度、商业支持、第三方集成 |</w:t>
      </w:r>
    </w:p>
    <w:p>
      <w:r>
        <w:rPr>
          <w:sz w:val="21"/>
        </w:rPr>
        <w:t xml:space="preserve">| </w:t>
      </w:r>
      <w:r>
        <w:rPr>
          <w:b/>
          <w:sz w:val="21"/>
        </w:rPr>
        <w:t>安全特性</w:t>
      </w:r>
      <w:r>
        <w:rPr>
          <w:sz w:val="21"/>
        </w:rPr>
        <w:t xml:space="preserve"> | 15% | 认证授权机制、API安全、合规性支持 |</w:t>
      </w:r>
    </w:p>
    <w:p>
      <w:r>
        <w:rPr>
          <w:sz w:val="21"/>
        </w:rPr>
        <w:t xml:space="preserve">| </w:t>
      </w:r>
      <w:r>
        <w:rPr>
          <w:b/>
          <w:sz w:val="21"/>
        </w:rPr>
        <w:t>成本效益</w:t>
      </w:r>
      <w:r>
        <w:rPr>
          <w:sz w:val="21"/>
        </w:rPr>
        <w:t xml:space="preserve"> | 10% | 许可费用、运维成本、学习曲线 |</w:t>
      </w:r>
    </w:p>
    <w:p/>
    <w:p>
      <w:pPr>
        <w:pStyle w:val="Heading3"/>
      </w:pPr>
      <w:r>
        <w:rPr>
          <w:sz w:val="23"/>
        </w:rPr>
        <w:t>2.2 主流API网关对比分析</w:t>
      </w:r>
    </w:p>
    <w:p/>
    <w:p>
      <w:pPr>
        <w:pStyle w:val="Heading4"/>
      </w:pPr>
      <w:r>
        <w:rPr>
          <w:sz w:val="22"/>
        </w:rPr>
        <w:t>Kong Gateway (开源/企业版)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优势：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基于Nginx的高性能代理，支持插件化架构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丰富的插件生态（200+官方/社区插件）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支持混合部署（云原生+传统环境）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完善的API管理和开发者门户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适用场景：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中大型企业级应用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需要丰富插件扩展的复杂场景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混合云/多云环境部署</w:t>
      </w:r>
    </w:p>
    <w:p/>
    <w:p>
      <w:pPr>
        <w:pStyle w:val="Heading4"/>
      </w:pPr>
      <w:r>
        <w:rPr>
          <w:sz w:val="22"/>
        </w:rPr>
        <w:t>Spring Cloud Gateway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优势：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与Spring生态深度集成，Java开发者友好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响应式编程模型，支持高并发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配置灵活，支持动态路由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无供应商锁定，完全开源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适用场景：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Spring技术栈为主的微服务体系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需要深度定制路由逻辑的场景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开发团队熟悉Java/Spring技术</w:t>
      </w:r>
    </w:p>
    <w:p/>
    <w:p>
      <w:pPr>
        <w:pStyle w:val="Heading4"/>
      </w:pPr>
      <w:r>
        <w:rPr>
          <w:sz w:val="22"/>
        </w:rPr>
        <w:t>Nginx Plus / OpenResty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优势：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极致的性能表现，成熟的负载均衡能力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灵活的Lua脚本扩展（OpenResty）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广泛的部署经验积累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商业版提供高级功能和支持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适用场景：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对性能有极致要求的场景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已有Nginx运维经验的团队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需要自定义扩展的复杂需求</w:t>
      </w:r>
    </w:p>
    <w:p/>
    <w:p>
      <w:pPr>
        <w:pStyle w:val="Heading4"/>
      </w:pPr>
      <w:r>
        <w:rPr>
          <w:sz w:val="22"/>
        </w:rPr>
        <w:t>云厂商原生网关</w:t>
      </w:r>
    </w:p>
    <w:p>
      <w:pPr>
        <w:pStyle w:val="ListBullet"/>
      </w:pPr>
      <w:r>
        <w:rPr>
          <w:b/>
          <w:sz w:val="21"/>
        </w:rPr>
        <w:t>AWS API Gateway</w:t>
      </w:r>
      <w:r>
        <w:rPr>
          <w:sz w:val="21"/>
        </w:rPr>
        <w:t>：深度集成AWS服务，按使用量计费</w:t>
      </w:r>
    </w:p>
    <w:p>
      <w:pPr>
        <w:pStyle w:val="ListBullet"/>
      </w:pPr>
      <w:r>
        <w:rPr>
          <w:b/>
          <w:sz w:val="21"/>
        </w:rPr>
        <w:t>Azure API Management</w:t>
      </w:r>
      <w:r>
        <w:rPr>
          <w:sz w:val="21"/>
        </w:rPr>
        <w:t>：企业级功能丰富，微软生态集成</w:t>
      </w:r>
    </w:p>
    <w:p>
      <w:pPr>
        <w:pStyle w:val="ListBullet"/>
      </w:pPr>
      <w:r>
        <w:rPr>
          <w:b/>
          <w:sz w:val="21"/>
        </w:rPr>
        <w:t>Google Cloud Endpoints</w:t>
      </w:r>
      <w:r>
        <w:rPr>
          <w:sz w:val="21"/>
        </w:rPr>
        <w:t>：与GCP服务无缝集成，支持gRPC</w:t>
      </w:r>
    </w:p>
    <w:p/>
    <w:p>
      <w:pPr>
        <w:pStyle w:val="Heading3"/>
      </w:pPr>
      <w:r>
        <w:rPr>
          <w:sz w:val="23"/>
        </w:rPr>
        <w:t>2.3 选型决策树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graph TD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A[开始选型] --&gt; B{云平台锁定?}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B --&gt;|是| C[选择对应云厂商网关]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B --&gt;|否| D{技术栈偏好?}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D --&gt;|Java/Spring| E[Spring Cloud Gateway]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D --&gt;|混合/多语言| F{性能要求?}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F --&gt;|极高| G[Nginx Plus/OpenResty]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F --&gt;|高/中等| H{插件生态需求?}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H --&gt;|丰富插件| I[Kong Gateway]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H --&gt;|基础功能| J[Traefik/Envoy]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C --&gt; K[实施评估]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E --&gt; K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G --&gt; K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I --&gt; K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J --&gt; K</w:t>
      </w:r>
    </w:p>
    <w:p/>
    <w:p>
      <w:pPr>
        <w:pStyle w:val="Heading2"/>
      </w:pPr>
      <w:r>
        <w:rPr>
          <w:sz w:val="25"/>
        </w:rPr>
        <w:t>三、详细配置方案</w:t>
      </w:r>
    </w:p>
    <w:p/>
    <w:p>
      <w:pPr>
        <w:pStyle w:val="Heading3"/>
      </w:pPr>
      <w:r>
        <w:rPr>
          <w:sz w:val="23"/>
        </w:rPr>
        <w:t>3.1 架构设计模式</w:t>
      </w:r>
    </w:p>
    <w:p/>
    <w:p>
      <w:pPr>
        <w:pStyle w:val="Heading4"/>
      </w:pPr>
      <w:r>
        <w:rPr>
          <w:sz w:val="22"/>
        </w:rPr>
        <w:t>分层网关架构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客户端层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↓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边缘网关 (Edge Gateway)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├── 静态内容缓存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├── DDoS防护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├── SSL终止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└── 基础认证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↓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内部网关 (Internal Gateway)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├── 服务路由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├── 认证授权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├── 限流熔断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└── 协议转换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↓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微服务集群</w:t>
      </w:r>
    </w:p>
    <w:p/>
    <w:p>
      <w:pPr>
        <w:pStyle w:val="Heading4"/>
      </w:pPr>
      <w:r>
        <w:rPr>
          <w:sz w:val="22"/>
        </w:rPr>
        <w:t>多租户隔离策略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Kong网关多租户配置示例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apiVersion: configuration.konghq.com/v1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kind: KongConsumer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name: tenant-a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annotations: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kubernetes.io/ingress.class: kong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username: tenant-a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custom_id: tenant-a-001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---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apiVersion: configuration.konghq.com/v1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kind: KongPlugin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name: rate-limiting-tenant-a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plugin: rate-limiting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config: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minute: 100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policy: local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consumer: tenant-a</w:t>
      </w:r>
    </w:p>
    <w:p/>
    <w:p>
      <w:pPr>
        <w:pStyle w:val="Heading3"/>
      </w:pPr>
      <w:r>
        <w:rPr>
          <w:sz w:val="23"/>
        </w:rPr>
        <w:t>3.2 核心配置模块</w:t>
      </w:r>
    </w:p>
    <w:p/>
    <w:p>
      <w:pPr>
        <w:pStyle w:val="Heading4"/>
      </w:pPr>
      <w:r>
        <w:rPr>
          <w:sz w:val="22"/>
        </w:rPr>
        <w:t>路由配置策略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Spring Cloud Gateway路由配置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spring: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cloud: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gateway: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routes: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- id: user-service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uri: lb://user-service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predicates: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- Path=/api/v1/users/**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filters: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- name: CircuitBreaker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args: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  name: userService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  fallbackUri: forward:/fallback/user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- name: RequestRateLimiter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args: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  redis-rate-limiter.replenishRate: 10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  redis-rate-limiter.burstCapacity: 20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- StripPrefix=1</w:t>
      </w:r>
    </w:p>
    <w:p/>
    <w:p>
      <w:pPr>
        <w:pStyle w:val="Heading4"/>
      </w:pPr>
      <w:r>
        <w:rPr>
          <w:sz w:val="22"/>
        </w:rPr>
        <w:t>安全认证配置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Kong JWT认证配置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curl -X POST http://localhost:8001/services/{service}/plugins \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--data "name=jwt" \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--data "config.claims_to_verify=exp" \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--data "config.key_claim_name=kid" \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--data "config.secret_is_base64=false"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API密钥认证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curl -X POST http://localhost:8001/consumers/{consumer}/key-auth \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--data "key={api_key}"</w:t>
      </w:r>
    </w:p>
    <w:p/>
    <w:p>
      <w:pPr>
        <w:pStyle w:val="Heading4"/>
      </w:pPr>
      <w:r>
        <w:rPr>
          <w:sz w:val="22"/>
        </w:rPr>
        <w:t>限流与熔断策略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// Resilience4j熔断器配置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CircuitBreakerConfig circuitBreakerConfig = CircuitBreakerConfig.custom()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.failureRateThreshold(50)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.waitDurationInOpenState(Duration.ofMillis(1000))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.permittedNumberOfCallsInHalfOpenState(2)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.slidingWindowType(SlidingWindowType.COUNT_BASED)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.slidingWindowSize(10)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.build();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// 网关层限流配置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@Bean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public KeyResolver userKeyResolver()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return exchange -&gt; Mono.just(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exchange.getRequest().getHeaders()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    .getFirst("X-Forwarded-For")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);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3"/>
      </w:pPr>
      <w:r>
        <w:rPr>
          <w:sz w:val="23"/>
        </w:rPr>
        <w:t>3.3 监控与可观测性</w:t>
      </w:r>
    </w:p>
    <w:p/>
    <w:p>
      <w:pPr>
        <w:pStyle w:val="Heading4"/>
      </w:pPr>
      <w:r>
        <w:rPr>
          <w:sz w:val="22"/>
        </w:rPr>
        <w:t>监控指标体系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Prometheus监控指标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请求吞吐量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sum(rate(nginx_http_requests_total[5m])) by (service)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错误率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sum(rate(nginx_http_requests_total{status=~"5.."}[5m]))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/ sum(rate(nginx_http_requests_total[5m]))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响应时间分布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histogram_quantile(0.95,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sum(rate(nginx_http_request_duration_seconds_bucket[5m]))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by (le, service)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网关资源使用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process_cpu_seconds_total{job="api-gateway"}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container_memory_usage_bytes{container="gateway"}</w:t>
      </w:r>
    </w:p>
    <w:p/>
    <w:p>
      <w:pPr>
        <w:pStyle w:val="Heading4"/>
      </w:pPr>
      <w:r>
        <w:rPr>
          <w:sz w:val="22"/>
        </w:rPr>
        <w:t>日志聚合方案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ELK Stack日志配置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Filebeat配置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filebeat.inputs: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type: log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paths: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- /var/log/nginx/access.log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json.keys_under_root: true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json.add_error_key: true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Logstash管道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filter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grok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match =&gt; { "message" =&gt; "%{COMBINEDAPACHELOG}" 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date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match =&gt; [ "timestamp", "dd/MMM/yyyy:HH:mm:ss Z" 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geoip {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source =&gt; "clientip"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}</w:t>
      </w:r>
    </w:p>
    <w:p/>
    <w:p>
      <w:pPr>
        <w:pStyle w:val="Heading2"/>
      </w:pPr>
      <w:r>
        <w:rPr>
          <w:sz w:val="25"/>
        </w:rPr>
        <w:t>四、实施路线图</w:t>
      </w:r>
    </w:p>
    <w:p/>
    <w:p>
      <w:pPr>
        <w:pStyle w:val="Heading3"/>
      </w:pPr>
      <w:r>
        <w:rPr>
          <w:sz w:val="23"/>
        </w:rPr>
        <w:t>4.1 四阶段实施计划</w:t>
      </w:r>
    </w:p>
    <w:p/>
    <w:p>
      <w:pPr>
        <w:pStyle w:val="Heading4"/>
      </w:pPr>
      <w:r>
        <w:rPr>
          <w:sz w:val="22"/>
        </w:rPr>
        <w:t>第一阶段：准备与评估（第1个月）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第1-2周：需求分析与技术选型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业务API梳理与分类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性能基准测试（模拟负载）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安全合规要求确认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第3-4周：环境准备与POC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开发/测试环境搭建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核心功能验证（路由、认证、限流）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团队技术培训</w:t>
      </w:r>
    </w:p>
    <w:p/>
    <w:p>
      <w:pPr>
        <w:pStyle w:val="Heading4"/>
      </w:pPr>
      <w:r>
        <w:rPr>
          <w:sz w:val="22"/>
        </w:rPr>
        <w:t>第二阶段：核心功能实现（第2个月）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第5-6周：基础网关部署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生产环境部署架构设计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高可用配置（多活/主备）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