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00"/>
        <w:ind/>
        <w:jc w:val="center"/>
        <w:rPr/>
      </w:pPr>
      <w:r>
        <w:rPr>
          <w:rFonts w:ascii="Times New Roman" w:hAnsi="Times New Roman" w:eastAsia="Times New Roman" w:cs="Times New Roman"/>
          <w:b/>
          <w:bCs/>
          <w:sz w:val="30"/>
          <w:szCs w:val="30"/>
        </w:rPr>
        <w:t xml:space="preserve">Municipal Services Application</w:t>
      </w:r>
      <w:r/>
    </w:p>
    <w:p>
      <w:pPr>
        <w:pBdr/>
        <w:spacing w:after="400"/>
        <w:ind/>
        <w:jc w:val="center"/>
        <w:rPr/>
      </w:pPr>
      <w:r>
        <w:rPr>
          <w:rFonts w:ascii="Times New Roman" w:hAnsi="Times New Roman" w:eastAsia="Times New Roman" w:cs="Times New Roman"/>
          <w:b/>
          <w:bCs/>
          <w:sz w:val="26"/>
          <w:szCs w:val="26"/>
        </w:rPr>
        <w:t xml:space="preserve">Task 1: Research — User Engagement Strategies</w:t>
      </w:r>
      <w:r/>
    </w:p>
    <w:p w14:paraId="2C7AEAC5">
      <w:pPr>
        <w:pBdr/>
        <w:spacing w:after="150" w:line="360" w:lineRule="auto"/>
        <w:ind/>
        <w:jc w:val="both"/>
        <w:rPr/>
      </w:pPr>
      <w:r>
        <w:rPr>
          <w:rFonts w:ascii="Times New Roman" w:hAnsi="Times New Roman" w:eastAsia="Times New Roman" w:cs="Times New Roman"/>
          <w:sz w:val="24"/>
          <w:szCs w:val="24"/>
          <w:highlight w:val="none"/>
          <w:lang w:val="en-ZA"/>
        </w:rPr>
        <w:t xml:space="preserve">Five user engagement strategies were found and considered during a research for encouraging citizens to </w:t>
      </w:r>
      <w:r>
        <w:rPr>
          <w:rFonts w:ascii="Times New Roman" w:hAnsi="Times New Roman" w:eastAsia="Times New Roman" w:cs="Times New Roman"/>
          <w:sz w:val="24"/>
          <w:szCs w:val="24"/>
          <w:highlight w:val="none"/>
          <w:lang w:val="en-ZA"/>
        </w:rPr>
        <w:t xml:space="preserve">actively utilize municipal applications</w:t>
      </w:r>
      <w:r>
        <w:rPr>
          <w:rFonts w:ascii="Times New Roman" w:hAnsi="Times New Roman" w:eastAsia="Times New Roman" w:cs="Times New Roman"/>
          <w:sz w:val="24"/>
          <w:szCs w:val="24"/>
          <w:highlight w:val="none"/>
          <w:lang w:val="en-ZA"/>
        </w:rPr>
        <w:t xml:space="preserve">, within the South African context of resource-constraints and distressed municipalities </w:t>
      </w:r>
      <w:r>
        <w:rPr>
          <w:rFonts w:ascii="Times New Roman" w:hAnsi="Times New Roman" w:eastAsia="Times New Roman" w:cs="Times New Roman"/>
          <w:sz w:val="24"/>
          <w:szCs w:val="24"/>
        </w:rPr>
        <w:t xml:space="preserve">(Hart, Booyens &amp; Sinyolo, 2020)</w:t>
      </w:r>
      <w:r/>
      <w:r>
        <w:rPr>
          <w:rFonts w:ascii="Times New Roman" w:hAnsi="Times New Roman" w:eastAsia="Times New Roman" w:cs="Times New Roman"/>
          <w:sz w:val="24"/>
          <w:szCs w:val="24"/>
          <w:highlight w:val="none"/>
          <w:lang w:val="en-ZA"/>
        </w:rPr>
        <w:t xml:space="preserve">.</w:t>
      </w:r>
      <w:r>
        <w:rPr>
          <w:rFonts w:ascii="Times New Roman" w:hAnsi="Times New Roman" w:eastAsia="Times New Roman" w:cs="Times New Roman"/>
          <w:sz w:val="24"/>
          <w:szCs w:val="24"/>
          <w:highlight w:val="none"/>
        </w:rPr>
      </w:r>
    </w:p>
    <w:p w14:paraId="6C2F4936">
      <w:pPr>
        <w:pStyle w:val="715"/>
        <w:numPr>
          <w:ilvl w:val="0"/>
          <w:numId w:val="2"/>
        </w:numPr>
        <w:pBdr/>
        <w:spacing w:after="100" w:line="360" w:lineRule="auto"/>
        <w:ind/>
        <w:rPr/>
      </w:pPr>
      <w:r>
        <w:rPr>
          <w:rFonts w:ascii="Times New Roman" w:hAnsi="Times New Roman" w:eastAsia="Times New Roman" w:cs="Times New Roman"/>
          <w:sz w:val="24"/>
          <w:szCs w:val="24"/>
          <w:highlight w:val="none"/>
          <w:lang w:val="en-ZA"/>
        </w:rPr>
        <w:t xml:space="preserve">Gamification and progress feedback – the utilization of progress bars, badges, points also encouraging messages to </w:t>
      </w:r>
      <w:r>
        <w:rPr>
          <w:rFonts w:ascii="Times New Roman" w:hAnsi="Times New Roman" w:eastAsia="Times New Roman" w:cs="Times New Roman"/>
          <w:sz w:val="24"/>
          <w:szCs w:val="24"/>
          <w:highlight w:val="none"/>
          <w:lang w:val="en-ZA"/>
        </w:rPr>
        <w:t xml:space="preserve">award users for finishing actions like reporting an issue.</w:t>
      </w:r>
      <w:r>
        <w:rPr>
          <w:rFonts w:ascii="Times New Roman" w:hAnsi="Times New Roman" w:eastAsia="Times New Roman" w:cs="Times New Roman"/>
          <w:sz w:val="24"/>
          <w:szCs w:val="24"/>
          <w:highlight w:val="none"/>
        </w:rPr>
      </w:r>
    </w:p>
    <w:p>
      <w:pPr>
        <w:pStyle w:val="715"/>
        <w:numPr>
          <w:ilvl w:val="0"/>
          <w:numId w:val="2"/>
        </w:numPr>
        <w:pBdr/>
        <w:spacing w:after="100" w:line="360" w:lineRule="auto"/>
        <w:ind/>
        <w:rPr/>
      </w:pPr>
      <w:r>
        <w:rPr>
          <w:rFonts w:ascii="Times New Roman" w:hAnsi="Times New Roman" w:eastAsia="Times New Roman" w:cs="Times New Roman"/>
          <w:sz w:val="24"/>
          <w:szCs w:val="24"/>
          <w:lang w:val="en-ZA"/>
        </w:rPr>
      </w: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lang w:val="en-ZA"/>
        </w:rPr>
        <w:t xml:space="preserve">Push notification and status bar – citizens are kept up to speed on their service requests, which builds trust and encourages repeat use. </w:t>
      </w:r>
      <w:r>
        <w:rPr>
          <w:rFonts w:ascii="Times New Roman" w:hAnsi="Times New Roman" w:eastAsia="Times New Roman" w:cs="Times New Roman"/>
          <w:sz w:val="24"/>
          <w:szCs w:val="24"/>
          <w:highlight w:val="none"/>
        </w:rPr>
      </w:r>
      <w:r/>
      <w:r/>
      <w:r>
        <w:rPr>
          <w:highlight w:val="none"/>
        </w:rPr>
      </w:r>
      <w:r>
        <w:rPr>
          <w:highlight w:val="none"/>
        </w:rPr>
      </w:r>
      <w:r>
        <w:rPr>
          <w:highlight w:val="none"/>
        </w:rPr>
      </w:r>
      <w:r/>
    </w:p>
    <w:p>
      <w:pPr>
        <w:pStyle w:val="715"/>
        <w:numPr>
          <w:ilvl w:val="0"/>
          <w:numId w:val="2"/>
        </w:numPr>
        <w:pBdr/>
        <w:spacing w:after="100" w:line="360" w:lineRule="auto"/>
        <w:ind/>
        <w:rPr/>
      </w:pPr>
      <w:r>
        <w:rPr>
          <w:rFonts w:ascii="Times New Roman" w:hAnsi="Times New Roman" w:eastAsia="Times New Roman" w:cs="Times New Roman"/>
          <w:sz w:val="24"/>
          <w:szCs w:val="24"/>
        </w:rPr>
      </w:r>
      <w:r/>
      <w:r>
        <w:rPr>
          <w:rFonts w:ascii="Times New Roman" w:hAnsi="Times New Roman" w:eastAsia="Times New Roman" w:cs="Times New Roman"/>
          <w:sz w:val="24"/>
          <w:szCs w:val="24"/>
          <w:highlight w:val="none"/>
          <w:lang w:val="en-ZA"/>
        </w:rPr>
        <w:t xml:space="preserve">Multi-channel and low bandwidth accessibility – </w:t>
      </w:r>
      <w:r>
        <w:rPr>
          <w:rFonts w:ascii="Times New Roman" w:hAnsi="Times New Roman" w:eastAsia="Times New Roman" w:cs="Times New Roman"/>
          <w:sz w:val="24"/>
          <w:szCs w:val="24"/>
          <w:highlight w:val="none"/>
          <w:lang w:val="en-ZA"/>
        </w:rPr>
        <w:t xml:space="preserve">ensures that even users with older devices and limited data are able to use the application by having offline features</w:t>
      </w:r>
      <w:r>
        <w:rPr>
          <w:rFonts w:ascii="Times New Roman" w:hAnsi="Times New Roman" w:eastAsia="Times New Roman" w:cs="Times New Roman"/>
          <w:sz w:val="24"/>
          <w:szCs w:val="24"/>
          <w:highlight w:val="none"/>
          <w:lang w:val="en-ZA"/>
        </w:rPr>
        <w:t xml:space="preserve">, SMS and USSD.</w:t>
      </w:r>
      <w:r>
        <w:rPr>
          <w:rFonts w:ascii="Times New Roman" w:hAnsi="Times New Roman" w:eastAsia="Times New Roman" w:cs="Times New Roman"/>
          <w:sz w:val="24"/>
          <w:szCs w:val="24"/>
          <w:highlight w:val="none"/>
        </w:rPr>
      </w:r>
      <w:r/>
    </w:p>
    <w:p>
      <w:pPr>
        <w:pStyle w:val="715"/>
        <w:numPr>
          <w:ilvl w:val="0"/>
          <w:numId w:val="2"/>
        </w:numPr>
        <w:pBdr/>
        <w:spacing w:after="100" w:line="360" w:lineRule="auto"/>
        <w:ind/>
        <w:rPr/>
      </w:pPr>
      <w:r>
        <w:rPr>
          <w:rFonts w:ascii="Times New Roman" w:hAnsi="Times New Roman" w:eastAsia="Times New Roman" w:cs="Times New Roman"/>
          <w:sz w:val="24"/>
          <w:szCs w:val="24"/>
        </w:rPr>
      </w:r>
      <w:r/>
      <w:r>
        <w:rPr>
          <w:rFonts w:ascii="Times New Roman" w:hAnsi="Times New Roman" w:eastAsia="Times New Roman" w:cs="Times New Roman"/>
          <w:sz w:val="24"/>
          <w:szCs w:val="24"/>
          <w:highlight w:val="none"/>
          <w:lang w:val="en-ZA"/>
        </w:rPr>
        <w:t xml:space="preserve">Community feedback loops and responsive government – Citizens need to feel seen and heard therefore, showing that the reported issues have been read, actioned and solved is crucial.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p>
    <w:p>
      <w:pPr>
        <w:pStyle w:val="715"/>
        <w:numPr>
          <w:ilvl w:val="0"/>
          <w:numId w:val="2"/>
        </w:numPr>
        <w:pBdr/>
        <w:spacing w:after="100" w:line="360" w:lineRule="auto"/>
        <w:ind/>
        <w:rPr/>
      </w:pPr>
      <w:r>
        <w:rPr>
          <w:rFonts w:ascii="Times New Roman" w:hAnsi="Times New Roman" w:eastAsia="Times New Roman" w:cs="Times New Roman"/>
          <w:sz w:val="24"/>
          <w:szCs w:val="24"/>
        </w:rPr>
      </w:r>
      <w:r/>
      <w:r>
        <w:rPr>
          <w:rFonts w:ascii="Times New Roman" w:hAnsi="Times New Roman" w:eastAsia="Times New Roman" w:cs="Times New Roman"/>
          <w:sz w:val="24"/>
          <w:szCs w:val="24"/>
          <w:highlight w:val="none"/>
          <w:lang w:val="en-ZA"/>
        </w:rPr>
        <w:t xml:space="preserve">Personalisation and localisation – </w:t>
      </w:r>
      <w:r>
        <w:rPr>
          <w:rFonts w:ascii="Times New Roman" w:hAnsi="Times New Roman" w:eastAsia="Times New Roman" w:cs="Times New Roman"/>
          <w:sz w:val="24"/>
          <w:szCs w:val="24"/>
          <w:highlight w:val="none"/>
          <w:lang w:val="en-ZA"/>
        </w:rPr>
        <w:t xml:space="preserve">to increase relevance and a sense of ownership content is tailored, there’s multilingual support and ward specific announcements,</w:t>
      </w:r>
      <w:r>
        <w:rPr>
          <w:rFonts w:ascii="Times New Roman" w:hAnsi="Times New Roman" w:eastAsia="Times New Roman" w:cs="Times New Roman"/>
          <w:sz w:val="24"/>
          <w:szCs w:val="24"/>
          <w:highlight w:val="none"/>
        </w:rPr>
      </w:r>
      <w:r/>
    </w:p>
    <w:p w14:paraId="270240D9">
      <w:pPr>
        <w:pBdr/>
        <w:spacing w:after="200" w:line="360" w:lineRule="auto"/>
        <w:ind/>
        <w:jc w:val="both"/>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724776EE">
      <w:pPr>
        <w:pBdr/>
        <w:spacing w:after="200" w:line="360" w:lineRule="auto"/>
        <w:ind/>
        <w:jc w:val="both"/>
        <w:rPr>
          <w:rFonts w:ascii="Times New Roman" w:hAnsi="Times New Roman" w:eastAsia="Times New Roman" w:cs="Times New Roman"/>
          <w:sz w:val="24"/>
          <w:szCs w:val="24"/>
          <w:highlight w:val="none"/>
          <w:lang w:val="en-ZA"/>
        </w:rPr>
      </w:pPr>
      <w:r>
        <w:rPr>
          <w:rFonts w:ascii="Times New Roman" w:hAnsi="Times New Roman" w:eastAsia="Times New Roman" w:cs="Times New Roman"/>
          <w:sz w:val="24"/>
          <w:szCs w:val="24"/>
          <w:highlight w:val="none"/>
          <w:lang w:val="en-ZA"/>
        </w:rPr>
        <w:t xml:space="preserve">Gamification was chosen for it’s dynamic progress feedback, found in the Report Issues module with an accompanying label which displays encouraging messages when citizens complete  each field on the form (location, category, description and attachment)</w:t>
      </w:r>
      <w:r>
        <w:rPr>
          <w:rFonts w:ascii="Times New Roman" w:hAnsi="Times New Roman" w:eastAsia="Times New Roman" w:cs="Times New Roman"/>
          <w:sz w:val="24"/>
          <w:szCs w:val="24"/>
          <w:highlight w:val="none"/>
          <w:lang w:val="en-ZA"/>
        </w:rPr>
        <w:t xml:space="preserve">.</w:t>
      </w:r>
      <w:r>
        <w:rPr>
          <w:rFonts w:ascii="Times New Roman" w:hAnsi="Times New Roman" w:eastAsia="Times New Roman" w:cs="Times New Roman"/>
          <w:sz w:val="24"/>
          <w:szCs w:val="24"/>
          <w:highlight w:val="none"/>
        </w:rPr>
      </w:r>
    </w:p>
    <w:p w14:paraId="3C79D20E">
      <w:pPr>
        <w:pBdr/>
        <w:spacing w:after="200" w:line="360"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7131B818">
      <w:pPr>
        <w:pBdr/>
        <w:spacing w:after="200" w:line="360" w:lineRule="auto"/>
        <w:ind/>
        <w:jc w:val="both"/>
        <w:rPr>
          <w:rFonts w:ascii="Times New Roman" w:hAnsi="Times New Roman" w:eastAsia="Times New Roman" w:cs="Times New Roman"/>
          <w:sz w:val="24"/>
          <w:szCs w:val="24"/>
          <w:lang w:val="en-ZA"/>
        </w:rPr>
      </w:pPr>
      <w:r>
        <w:rPr>
          <w:rFonts w:ascii="Times New Roman" w:hAnsi="Times New Roman" w:eastAsia="Times New Roman" w:cs="Times New Roman"/>
          <w:sz w:val="24"/>
          <w:szCs w:val="24"/>
          <w:highlight w:val="none"/>
          <w:lang w:val="en-ZA" w:bidi="en-ZA"/>
        </w:rPr>
        <w:t xml:space="preserve">Research indicates that the usage of game-like elements into a non-game context increases motivation </w:t>
      </w:r>
      <w:r>
        <w:rPr>
          <w:rFonts w:ascii="Times New Roman" w:hAnsi="Times New Roman" w:eastAsia="Times New Roman" w:cs="Times New Roman"/>
          <w:sz w:val="24"/>
          <w:szCs w:val="24"/>
          <w:highlight w:val="none"/>
          <w:lang w:val="en-ZA" w:bidi="en-ZA"/>
        </w:rPr>
        <w:t xml:space="preserve">and task completion as users get immediate, tangible feedback on their effort oppo</w:t>
      </w:r>
      <w:r>
        <w:rPr>
          <w:rFonts w:ascii="Times New Roman" w:hAnsi="Times New Roman" w:eastAsia="Times New Roman" w:cs="Times New Roman"/>
          <w:sz w:val="24"/>
          <w:szCs w:val="24"/>
          <w:highlight w:val="none"/>
          <w:lang w:val="en-ZA" w:bidi="en-ZA"/>
        </w:rPr>
        <w:t xml:space="preserve">sed to working towards an invisible goal. While game elements alone don’t sustain long-term engagement, studies show that they provide a valuable benefit which draws users to the reporting process and decreases the perceived effort of completing a form. </w:t>
      </w:r>
      <w:r>
        <w:rPr>
          <w:sz w:val="24"/>
          <w:szCs w:val="24"/>
          <w:highlight w:val="none"/>
          <w:lang w:val="en-ZA"/>
        </w:rPr>
        <w:t xml:space="preserve">Making the form short and precise was essential to ensure well-defined task with a visible completion indicator to encourage users to finish what they started instead of abandoning the form midway.</w:t>
      </w:r>
      <w:r>
        <w:rPr>
          <w:sz w:val="24"/>
          <w:szCs w:val="24"/>
          <w:highlight w:val="none"/>
        </w:rPr>
      </w:r>
      <w:r>
        <w:rPr>
          <w:rFonts w:ascii="Times New Roman" w:hAnsi="Times New Roman" w:eastAsia="Times New Roman" w:cs="Times New Roman"/>
          <w:sz w:val="24"/>
          <w:szCs w:val="24"/>
          <w:lang w:val="en-ZA"/>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
        <w:rPr>
          <w:rFonts w:ascii="Times New Roman" w:hAnsi="Times New Roman" w:eastAsia="Times New Roman" w:cs="Times New Roman"/>
          <w:sz w:val="24"/>
          <w:szCs w:val="24"/>
          <w:lang w:val="en-ZA"/>
        </w:rPr>
      </w:r>
    </w:p>
    <w:p w14:paraId="4338B311">
      <w:pPr>
        <w:pBdr/>
        <w:spacing w:after="200" w:line="360" w:lineRule="auto"/>
        <w:ind/>
        <w:jc w:val="both"/>
        <w:rPr/>
      </w:pPr>
      <w:r>
        <w:rPr>
          <w:rFonts w:ascii="Times New Roman" w:hAnsi="Times New Roman" w:eastAsia="Times New Roman" w:cs="Times New Roman"/>
          <w:sz w:val="24"/>
          <w:szCs w:val="24"/>
          <w:highlight w:val="none"/>
          <w:lang w:val="en-ZA"/>
        </w:rPr>
      </w:r>
      <w:r>
        <w:rPr>
          <w:rFonts w:ascii="Times New Roman" w:hAnsi="Times New Roman" w:eastAsia="Times New Roman" w:cs="Times New Roman"/>
          <w:sz w:val="24"/>
          <w:szCs w:val="24"/>
          <w:highlight w:val="none"/>
          <w:lang w:val="en-ZA"/>
        </w:rPr>
      </w:r>
      <w:r>
        <w:rPr>
          <w:rFonts w:ascii="Times New Roman" w:hAnsi="Times New Roman" w:eastAsia="Times New Roman" w:cs="Times New Roman"/>
          <w:sz w:val="24"/>
          <w:szCs w:val="24"/>
          <w:highlight w:val="none"/>
          <w:lang w:val="en-ZA"/>
        </w:rPr>
      </w:r>
    </w:p>
    <w:p w14:paraId="0FD1DA08">
      <w:pPr>
        <w:pBdr/>
        <w:spacing w:after="200" w:line="360" w:lineRule="auto"/>
        <w:ind/>
        <w:jc w:val="both"/>
        <w:rPr>
          <w:rFonts w:ascii="Times New Roman" w:hAnsi="Times New Roman" w:eastAsia="Times New Roman" w:cs="Times New Roman"/>
          <w:sz w:val="24"/>
          <w:szCs w:val="24"/>
          <w:highlight w:val="none"/>
          <w:lang w:val="en-ZA"/>
        </w:rPr>
      </w:pPr>
      <w:r>
        <w:rPr>
          <w:rFonts w:ascii="Times New Roman" w:hAnsi="Times New Roman" w:eastAsia="Times New Roman" w:cs="Times New Roman"/>
          <w:sz w:val="24"/>
          <w:szCs w:val="24"/>
          <w:highlight w:val="none"/>
          <w:lang w:val="en-ZA"/>
        </w:rPr>
        <w:t xml:space="preserve">Since </w:t>
      </w:r>
      <w:r>
        <w:rPr>
          <w:rFonts w:ascii="Times New Roman" w:hAnsi="Times New Roman" w:eastAsia="Times New Roman" w:cs="Times New Roman"/>
          <w:sz w:val="24"/>
          <w:szCs w:val="24"/>
        </w:rPr>
        <w:t xml:space="preserve">Hart, Boo</w:t>
      </w:r>
      <w:r>
        <w:rPr>
          <w:rFonts w:ascii="Times New Roman" w:hAnsi="Times New Roman" w:eastAsia="Times New Roman" w:cs="Times New Roman"/>
          <w:sz w:val="24"/>
          <w:szCs w:val="24"/>
        </w:rPr>
        <w:t xml:space="preserve">yens and Sinyolo (2020)</w:t>
      </w:r>
      <w:r>
        <w:rPr>
          <w:rFonts w:ascii="Times New Roman" w:hAnsi="Times New Roman" w:eastAsia="Times New Roman" w:cs="Times New Roman"/>
          <w:sz w:val="24"/>
          <w:szCs w:val="24"/>
          <w:highlight w:val="none"/>
          <w:lang w:val="en-ZA"/>
        </w:rPr>
        <w:t xml:space="preserve"> stated that most South African municipalities are under-resourced, technologically constrained this strategy is perfect as it provides users with more responsiveness from the local government. Features like the progress bar and the label don’t need any additional server infrastructure , data usage no connectivity beyond what the application already needs. Dynamic progress feedback is a low cost and rick engagement mechanism which can be deployed instantly.</w:t>
      </w:r>
      <w:r>
        <w:rPr>
          <w:rFonts w:ascii="Times New Roman" w:hAnsi="Times New Roman" w:eastAsia="Times New Roman" w:cs="Times New Roman"/>
          <w:sz w:val="24"/>
          <w:szCs w:val="24"/>
          <w:highlight w:val="none"/>
        </w:rPr>
      </w:r>
    </w:p>
    <w:p w14:paraId="3F4F2E3D">
      <w:pPr>
        <w:pBdr/>
        <w:spacing w:after="200" w:line="360" w:lineRule="auto"/>
        <w:ind/>
        <w:jc w:val="both"/>
        <w:rPr/>
      </w:pPr>
      <w:r>
        <w:rPr>
          <w:rFonts w:ascii="Times New Roman" w:hAnsi="Times New Roman" w:eastAsia="Times New Roman" w:cs="Times New Roman"/>
          <w:sz w:val="24"/>
          <w:szCs w:val="24"/>
          <w:highlight w:val="none"/>
          <w:lang w:val="en-ZA"/>
        </w:rPr>
        <w:t xml:space="preserve">This strategy definitely reinforces the objective of encouraging citizens in all steps of reporting their issue from, “Let’s get started” to “Almost there - attach a photo if you have one “ to “Ready to submit!” the user than gets</w:t>
      </w:r>
      <w:r>
        <w:rPr>
          <w:rFonts w:ascii="Times New Roman" w:hAnsi="Times New Roman" w:eastAsia="Times New Roman" w:cs="Times New Roman"/>
          <w:sz w:val="24"/>
          <w:szCs w:val="24"/>
          <w:highlight w:val="none"/>
          <w:lang w:val="en-ZA"/>
        </w:rPr>
        <w:t xml:space="preserve"> confirmation of their input being captured, which transforms a potentially lengthy process of report an incident into a quick, rewarding interaction. </w:t>
      </w:r>
      <w:r>
        <w:rPr>
          <w:rFonts w:ascii="Times New Roman" w:hAnsi="Times New Roman" w:eastAsia="Times New Roman" w:cs="Times New Roman"/>
          <w:sz w:val="24"/>
          <w:szCs w:val="24"/>
          <w:highlight w:val="none"/>
          <w:lang w:val="en-ZA"/>
        </w:rPr>
        <w:t xml:space="preserve">This</w:t>
      </w:r>
      <w:r>
        <w:rPr>
          <w:rFonts w:ascii="Times New Roman" w:hAnsi="Times New Roman" w:eastAsia="Times New Roman" w:cs="Times New Roman"/>
          <w:sz w:val="24"/>
          <w:szCs w:val="24"/>
        </w:rPr>
        <w:t xml:space="preserve"> approach lays a foundation </w:t>
      </w:r>
      <w:r>
        <w:rPr>
          <w:rFonts w:ascii="Times New Roman" w:hAnsi="Times New Roman" w:eastAsia="Times New Roman" w:cs="Times New Roman"/>
          <w:sz w:val="24"/>
          <w:szCs w:val="24"/>
        </w:rPr>
        <w:t xml:space="preserve">that can be extended in later phases of the </w:t>
      </w:r>
      <w:r>
        <w:rPr>
          <w:rFonts w:ascii="Times New Roman" w:hAnsi="Times New Roman" w:eastAsia="Times New Roman" w:cs="Times New Roman"/>
          <w:sz w:val="24"/>
          <w:szCs w:val="24"/>
          <w:lang w:val="en-ZA"/>
        </w:rPr>
        <w:t xml:space="preserve">application</w:t>
      </w:r>
      <w:r>
        <w:rPr>
          <w:rFonts w:ascii="Times New Roman" w:hAnsi="Times New Roman" w:eastAsia="Times New Roman" w:cs="Times New Roman"/>
          <w:sz w:val="24"/>
          <w:szCs w:val="24"/>
        </w:rPr>
        <w:t xml:space="preserve">. Once the Local Events and Service Request Status modules are implemented, the same visual language of progress and encouragement can be reused to show citizens the status of their submitted</w:t>
      </w:r>
      <w:r>
        <w:rPr>
          <w:rFonts w:ascii="Times New Roman" w:hAnsi="Times New Roman" w:eastAsia="Times New Roman" w:cs="Times New Roman"/>
          <w:sz w:val="24"/>
          <w:szCs w:val="24"/>
        </w:rPr>
        <w:t xml:space="preserve"> requests, creating a consistent, trustworthy experience across the whole application.</w:t>
      </w:r>
      <w:r/>
      <w:r>
        <w:rPr>
          <w:rFonts w:ascii="Times New Roman" w:hAnsi="Times New Roman" w:eastAsia="Times New Roman" w:cs="Times New Roman"/>
          <w:sz w:val="24"/>
          <w:szCs w:val="24"/>
          <w:highlight w:val="none"/>
          <w:lang w:val="en-ZA"/>
        </w:rPr>
        <w:t xml:space="preserve"> </w:t>
      </w:r>
      <w:r>
        <w:rPr>
          <w:rFonts w:ascii="Times New Roman" w:hAnsi="Times New Roman" w:eastAsia="Times New Roman" w:cs="Times New Roman"/>
          <w:sz w:val="24"/>
          <w:szCs w:val="24"/>
          <w:highlight w:val="none"/>
        </w:rPr>
      </w:r>
    </w:p>
    <w:p>
      <w:pPr>
        <w:pStyle w:val="708"/>
        <w:pBdr/>
        <w:spacing w:after="200" w:before="300" w:line="360" w:lineRule="auto"/>
        <w:ind/>
        <w:rPr/>
      </w:pPr>
      <w:r>
        <w:rPr>
          <w:rFonts w:ascii="Times New Roman" w:hAnsi="Times New Roman" w:eastAsia="Times New Roman" w:cs="Times New Roman"/>
          <w:b/>
          <w:bCs/>
          <w:sz w:val="28"/>
          <w:szCs w:val="28"/>
        </w:rPr>
        <w:t xml:space="preserve">References</w:t>
      </w:r>
      <w:r/>
    </w:p>
    <w:p>
      <w:pPr>
        <w:pBdr/>
        <w:spacing w:after="150" w:line="360" w:lineRule="auto"/>
        <w:ind/>
        <w:jc w:val="left"/>
        <w:rPr/>
      </w:pPr>
      <w:r>
        <w:rPr>
          <w:rFonts w:ascii="Times New Roman" w:hAnsi="Times New Roman" w:eastAsia="Times New Roman" w:cs="Times New Roman"/>
          <w:sz w:val="24"/>
          <w:szCs w:val="24"/>
        </w:rPr>
        <w:t xml:space="preserve">Hart, T. G., Booyens, I. &amp; Sinyolo, S. (2020). Innovation for development in South Africa: Experiences with basic service technologies in distressed municipalities. Forum for Development Studies, 47(1), 23–47.</w:t>
      </w:r>
      <w:r/>
    </w:p>
    <w:p>
      <w:pPr>
        <w:pBdr/>
        <w:spacing w:after="150" w:line="360" w:lineRule="auto"/>
        <w:ind/>
        <w:jc w:val="left"/>
        <w:rPr/>
      </w:pPr>
      <w:r>
        <w:rPr>
          <w:rFonts w:ascii="Times New Roman" w:hAnsi="Times New Roman" w:eastAsia="Times New Roman" w:cs="Times New Roman"/>
          <w:sz w:val="24"/>
          <w:szCs w:val="24"/>
        </w:rPr>
        <w:t xml:space="preserve">Krat</w:t>
      </w:r>
      <w:r>
        <w:rPr>
          <w:rFonts w:ascii="Times New Roman" w:hAnsi="Times New Roman" w:eastAsia="Times New Roman" w:cs="Times New Roman"/>
          <w:sz w:val="24"/>
          <w:szCs w:val="24"/>
        </w:rPr>
        <w:t xml:space="preserve">h, J., Schürmann, L. &amp; von Korflesch, H. F. O. (2021). Revealing the theoretical basis of gamification: A systematic review and analysis of theory in research on gamification, serious games and game-based learning. Computers in Human Behavior, 125, 106963.</w:t>
      </w:r>
      <w:r/>
    </w:p>
    <w:p>
      <w:pPr>
        <w:pBdr/>
        <w:spacing w:after="150" w:line="360" w:lineRule="auto"/>
        <w:ind/>
        <w:jc w:val="left"/>
        <w:rPr/>
      </w:pPr>
      <w:r>
        <w:rPr>
          <w:rFonts w:ascii="Times New Roman" w:hAnsi="Times New Roman" w:eastAsia="Times New Roman" w:cs="Times New Roman"/>
          <w:sz w:val="24"/>
          <w:szCs w:val="24"/>
        </w:rPr>
        <w:t xml:space="preserve">Thiel, S. K. (2016). A review of introducing game elements to e-participation. In Proceedings of the CeDEM 2016 Conference. Krems, Austria: Danube University.</w:t>
      </w:r>
      <w:r/>
    </w:p>
    <w:p>
      <w:pPr>
        <w:pBdr/>
        <w:spacing w:after="150" w:line="360" w:lineRule="auto"/>
        <w:ind/>
        <w:jc w:val="left"/>
        <w:rPr/>
      </w:pPr>
      <w:r>
        <w:rPr>
          <w:rFonts w:ascii="Times New Roman" w:hAnsi="Times New Roman" w:eastAsia="Times New Roman" w:cs="Times New Roman"/>
          <w:sz w:val="24"/>
          <w:szCs w:val="24"/>
        </w:rPr>
        <w:t xml:space="preserve">MoldStud. (2026). The role of gamification in enhancing e-government app engagement. Retrieved from https://moldstud.com/articles/p-the-role-of-gamification-in-e-government-apps</w:t>
      </w:r>
      <w:r/>
    </w:p>
    <w:sectPr>
      <w:headerReference w:type="default" r:id="rId9"/>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2DD13CE">
    <w:pPr>
      <w:pStyle w:val="169"/>
      <w:pBdr/>
      <w:spacing/>
      <w:ind/>
      <w:rPr>
        <w:highlight w:val="none"/>
        <w:lang w:val="en-ZA"/>
      </w:rPr>
    </w:pPr>
    <w:r>
      <w:rPr>
        <w:lang w:val="en-ZA"/>
      </w:rPr>
      <w:t xml:space="preserve">Sbahle Khuzwayo</w:t>
    </w:r>
    <w:r/>
  </w:p>
  <w:p w14:paraId="0329E6AA">
    <w:pPr>
      <w:pStyle w:val="169"/>
      <w:pBdr/>
      <w:spacing/>
      <w:ind/>
      <w:rPr/>
    </w:pPr>
    <w:r>
      <w:rPr>
        <w:highlight w:val="none"/>
        <w:lang w:val="en-ZA"/>
      </w:rPr>
      <w:t xml:space="preserve">ST10540538</w:t>
    </w:r>
    <w:r>
      <w:rPr>
        <w:highlight w:val="none"/>
        <w:lang w:val="en-ZA"/>
      </w:rPr>
    </w:r>
    <w:r>
      <w:rPr>
        <w:highlight w:val="none"/>
        <w:lang w:val="en-ZA"/>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8"/>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1"/>
    <w:uiPriority w:val="9"/>
    <w:pPr>
      <w:pBdr/>
      <w:spacing/>
      <w:ind/>
    </w:pPr>
    <w:rPr>
      <w:rFonts w:ascii="Arial" w:hAnsi="Arial" w:eastAsia="Arial" w:cs="Arial"/>
      <w:i/>
      <w:iCs/>
      <w:color w:val="0f4761" w:themeColor="accent1" w:themeShade="BF"/>
    </w:rPr>
  </w:style>
  <w:style w:type="character" w:styleId="154">
    <w:name w:val="Heading 5 Char"/>
    <w:basedOn w:val="148"/>
    <w:link w:val="712"/>
    <w:uiPriority w:val="9"/>
    <w:pPr>
      <w:pBdr/>
      <w:spacing/>
      <w:ind/>
    </w:pPr>
    <w:rPr>
      <w:rFonts w:ascii="Arial" w:hAnsi="Arial" w:eastAsia="Arial" w:cs="Arial"/>
      <w:color w:val="0f4761" w:themeColor="accent1" w:themeShade="BF"/>
    </w:rPr>
  </w:style>
  <w:style w:type="character" w:styleId="155">
    <w:name w:val="Heading 6 Char"/>
    <w:basedOn w:val="148"/>
    <w:link w:val="71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7">
    <w:name w:val="Title"/>
    <w:qFormat/>
    <w:pPr>
      <w:pBdr/>
      <w:spacing/>
      <w:ind/>
    </w:pPr>
    <w:rPr>
      <w:sz w:val="56"/>
      <w:szCs w:val="56"/>
    </w:rPr>
  </w:style>
  <w:style w:type="paragraph" w:styleId="708">
    <w:name w:val="Heading 1"/>
    <w:qFormat/>
    <w:pPr>
      <w:pBdr/>
      <w:spacing/>
      <w:ind/>
    </w:pPr>
    <w:rPr>
      <w:color w:val="2e74b5"/>
      <w:sz w:val="32"/>
      <w:szCs w:val="32"/>
    </w:rPr>
  </w:style>
  <w:style w:type="paragraph" w:styleId="709">
    <w:name w:val="Heading 2"/>
    <w:qFormat/>
    <w:pPr>
      <w:pBdr/>
      <w:spacing/>
      <w:ind/>
    </w:pPr>
    <w:rPr>
      <w:color w:val="2e74b5"/>
      <w:sz w:val="26"/>
      <w:szCs w:val="26"/>
    </w:rPr>
  </w:style>
  <w:style w:type="paragraph" w:styleId="710">
    <w:name w:val="Heading 3"/>
    <w:qFormat/>
    <w:pPr>
      <w:pBdr/>
      <w:spacing/>
      <w:ind/>
    </w:pPr>
    <w:rPr>
      <w:color w:val="1f4d78"/>
      <w:sz w:val="24"/>
      <w:szCs w:val="24"/>
    </w:rPr>
  </w:style>
  <w:style w:type="paragraph" w:styleId="711">
    <w:name w:val="Heading 4"/>
    <w:qFormat/>
    <w:pPr>
      <w:pBdr/>
      <w:spacing/>
      <w:ind/>
    </w:pPr>
    <w:rPr>
      <w:i/>
      <w:iCs/>
      <w:color w:val="2e74b5"/>
    </w:rPr>
  </w:style>
  <w:style w:type="paragraph" w:styleId="712">
    <w:name w:val="Heading 5"/>
    <w:qFormat/>
    <w:pPr>
      <w:pBdr/>
      <w:spacing/>
      <w:ind/>
    </w:pPr>
    <w:rPr>
      <w:color w:val="2e74b5"/>
    </w:rPr>
  </w:style>
  <w:style w:type="paragraph" w:styleId="713">
    <w:name w:val="Heading 6"/>
    <w:qFormat/>
    <w:pPr>
      <w:pBdr/>
      <w:spacing/>
      <w:ind/>
    </w:pPr>
    <w:rPr>
      <w:color w:val="1f4d78"/>
    </w:rPr>
  </w:style>
  <w:style w:type="paragraph" w:styleId="714">
    <w:name w:val="Strong"/>
    <w:qFormat/>
    <w:pPr>
      <w:pBdr/>
      <w:spacing/>
      <w:ind/>
    </w:pPr>
    <w:rPr>
      <w:b/>
      <w:bCs/>
    </w:rPr>
  </w:style>
  <w:style w:type="paragraph" w:styleId="715">
    <w:name w:val="List Paragraph"/>
    <w:qFormat/>
    <w:pPr>
      <w:pBdr/>
      <w:spacing/>
      <w:ind/>
    </w:pPr>
  </w:style>
  <w:style w:type="character" w:styleId="716">
    <w:name w:val="Hyperlink"/>
    <w:uiPriority w:val="99"/>
    <w:unhideWhenUsed/>
    <w:pPr>
      <w:pBdr/>
      <w:spacing/>
      <w:ind/>
    </w:pPr>
    <w:rPr>
      <w:color w:val="0563c1"/>
      <w:u w:val="single"/>
    </w:rPr>
  </w:style>
  <w:style w:type="character" w:styleId="717">
    <w:name w:val="footnote reference"/>
    <w:uiPriority w:val="99"/>
    <w:semiHidden/>
    <w:unhideWhenUsed/>
    <w:pPr>
      <w:pBdr/>
      <w:spacing/>
      <w:ind/>
    </w:pPr>
    <w:rPr>
      <w:vertAlign w:val="superscript"/>
    </w:rPr>
  </w:style>
  <w:style w:type="paragraph" w:styleId="718">
    <w:name w:val="footnote text"/>
    <w:link w:val="719"/>
    <w:uiPriority w:val="99"/>
    <w:semiHidden/>
    <w:unhideWhenUsed/>
    <w:pPr>
      <w:pBdr/>
      <w:spacing w:after="0" w:line="240" w:lineRule="auto"/>
      <w:ind/>
    </w:pPr>
    <w:rPr>
      <w:sz w:val="20"/>
      <w:szCs w:val="20"/>
    </w:rPr>
  </w:style>
  <w:style w:type="character" w:styleId="719">
    <w:name w:val="Footnote Text Char"/>
    <w:link w:val="718"/>
    <w:uiPriority w:val="99"/>
    <w:semiHidden/>
    <w:unhideWhenUsed/>
    <w:pPr>
      <w:pBdr/>
      <w:spacing/>
      <w:ind/>
    </w:pPr>
    <w:rPr>
      <w:sz w:val="20"/>
      <w:szCs w:val="20"/>
    </w:rPr>
  </w:style>
  <w:style w:type="character" w:styleId="720">
    <w:name w:val="endnote reference"/>
    <w:uiPriority w:val="99"/>
    <w:semiHidden/>
    <w:unhideWhenUsed/>
    <w:pPr>
      <w:pBdr/>
      <w:spacing/>
      <w:ind/>
    </w:pPr>
    <w:rPr>
      <w:vertAlign w:val="superscript"/>
    </w:rPr>
  </w:style>
  <w:style w:type="paragraph" w:styleId="721">
    <w:name w:val="endnote text"/>
    <w:link w:val="722"/>
    <w:uiPriority w:val="99"/>
    <w:semiHidden/>
    <w:unhideWhenUsed/>
    <w:pPr>
      <w:pBdr/>
      <w:spacing w:after="0" w:line="240" w:lineRule="auto"/>
      <w:ind/>
    </w:pPr>
    <w:rPr>
      <w:sz w:val="20"/>
      <w:szCs w:val="20"/>
    </w:rPr>
  </w:style>
  <w:style w:type="character" w:styleId="722">
    <w:name w:val="Endnote Text Char"/>
    <w:link w:val="721"/>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2026-08-20T11:11:24Z</dcterms:created>
  <dcterms:modified xsi:type="dcterms:W3CDTF">2026-08-29T17:19:37Z</dcterms:modified>
</cp:coreProperties>
</file>