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Forschungsethik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rechtliche-rahmenbedingungen"/>
    <w:p>
      <w:pPr>
        <w:pStyle w:val="Heading1"/>
      </w:pPr>
      <w:r>
        <w:t xml:space="preserve">Rechtliche Rahmenbedingungen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Forschungsethik</dc:title>
  <dc:creator>Richard Conrardy</dc:creator>
  <dc:language>de</dc:language>
  <cp:keywords/>
  <dcterms:created xsi:type="dcterms:W3CDTF">2024-06-03T09:39:53Z</dcterms:created>
  <dcterms:modified xsi:type="dcterms:W3CDTF">2024-06-03T09:39:53Z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subtitle">
    <vt:lpwstr>Learning Analytics</vt:lpwstr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