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w:t>
      </w:r>
    </w:p>
    <w:p>
      <w:pPr>
        <w:numPr>
          <w:ilvl w:val="0"/>
          <w:numId w:val="1001"/>
        </w:numPr>
        <w:pStyle w:val="Compact"/>
      </w:pPr>
      <w:r>
        <w:t xml:space="preserve">PADUA:</w:t>
      </w:r>
      <w:r>
        <w:t xml:space="preserve"> </w:t>
      </w:r>
      <w:r>
        <w:t xml:space="preserve">(vgl. Aebli, 1983)</w:t>
      </w:r>
    </w:p>
    <w:p>
      <w:pPr>
        <w:numPr>
          <w:ilvl w:val="0"/>
          <w:numId w:val="1001"/>
        </w:numPr>
        <w:pStyle w:val="Compact"/>
      </w:pPr>
      <w:r>
        <w:t xml:space="preserve">AVIVA:</w:t>
      </w:r>
      <w:r>
        <w:t xml:space="preserve"> </w:t>
      </w:r>
      <w:r>
        <w:t xml:space="preserve">(Städeli &amp; Maurer, 2020)</w:t>
      </w:r>
    </w:p>
    <w:p>
      <w:pPr>
        <w:numPr>
          <w:ilvl w:val="0"/>
          <w:numId w:val="1001"/>
        </w:numPr>
        <w:pStyle w:val="Compact"/>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w:t>
            </w:r>
            <w:r>
              <w:t xml:space="preserve">Planungsarbeit im Fokus</w:t>
            </w:r>
            <w:r>
              <w:t xml:space="preserve">”</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p>
    <w:p>
      <w:pPr>
        <w:pStyle w:val="Body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Cs/>
                <w:i/>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2"/>
        </w:numPr>
        <w:pStyle w:val="Compact"/>
      </w:pPr>
      <w:r>
        <w:t xml:space="preserve">Lernziele,</w:t>
      </w:r>
      <w:r>
        <w:t xml:space="preserve"> </w:t>
      </w:r>
      <w:r>
        <w:t xml:space="preserve">“</w:t>
      </w:r>
      <w:r>
        <w:t xml:space="preserve">Was würde ich gerne meine Schüler erreichen lassen?</w:t>
      </w:r>
      <w:r>
        <w:t xml:space="preserve">”</w:t>
      </w:r>
    </w:p>
    <w:p>
      <w:pPr>
        <w:numPr>
          <w:ilvl w:val="0"/>
          <w:numId w:val="1002"/>
        </w:numPr>
        <w:pStyle w:val="Compact"/>
      </w:pPr>
      <w:r>
        <w:t xml:space="preserve">Anfangszustand,</w:t>
      </w:r>
      <w:r>
        <w:t xml:space="preserve"> </w:t>
      </w:r>
      <w:r>
        <w:t xml:space="preserve">“</w:t>
      </w:r>
      <w:r>
        <w:t xml:space="preserve">Wo können meine Schüler anfangen?</w:t>
      </w:r>
      <w:r>
        <w:t xml:space="preserve">”</w:t>
      </w:r>
    </w:p>
    <w:p>
      <w:pPr>
        <w:numPr>
          <w:ilvl w:val="0"/>
          <w:numId w:val="1002"/>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2"/>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Cs/>
          <w:i/>
        </w:rPr>
        <w:t xml:space="preserve">constructive alignment</w:t>
      </w:r>
      <w:r>
        <w:t xml:space="preserve"> </w:t>
      </w:r>
      <w:r>
        <w:t xml:space="preserve">von</w:t>
      </w:r>
      <w:r>
        <w:t xml:space="preserve"> </w:t>
      </w:r>
      <w:r>
        <w:t xml:space="preserve">Biggs (1996)</w:t>
      </w:r>
      <w:r>
        <w:t xml:space="preserve"> </w:t>
      </w:r>
      <w:r>
        <w:t xml:space="preserve">.</w:t>
      </w:r>
    </w:p>
    <w:p>
      <w:pPr>
        <w:numPr>
          <w:ilvl w:val="0"/>
          <w:numId w:val="1003"/>
        </w:numPr>
        <w:pStyle w:val="Compact"/>
      </w:pPr>
      <w:r>
        <w:t xml:space="preserve">teachers need to be clear about what they want their students to learn, and how they would manifest that learning in terms of</w:t>
      </w:r>
      <w:r>
        <w:t xml:space="preserve"> </w:t>
      </w:r>
      <w:r>
        <w:t xml:space="preserve">“</w:t>
      </w:r>
      <w:r>
        <w:t xml:space="preserve">performances of understanding</w:t>
      </w:r>
      <w:r>
        <w:t xml:space="preserve">”</w:t>
      </w:r>
      <w:r>
        <w:t xml:space="preserve">. For .example, memorising and paraphrasing are not performances of understanding, recognising an application in a novel context is.</w:t>
      </w:r>
    </w:p>
    <w:p>
      <w:pPr>
        <w:numPr>
          <w:ilvl w:val="0"/>
          <w:numId w:val="1003"/>
        </w:numPr>
        <w:pStyle w:val="Compact"/>
      </w:pPr>
      <w:r>
        <w:t xml:space="preserve">the performance objectives thus emerging need to be arranged in a hierarchy from most acceptable to barely satisfactory, which hierarchy becomes the grading system.</w:t>
      </w:r>
    </w:p>
    <w:p>
      <w:pPr>
        <w:numPr>
          <w:ilvl w:val="0"/>
          <w:numId w:val="1003"/>
        </w:numPr>
        <w:pStyle w:val="Compact"/>
      </w:pPr>
      <w:r>
        <w:t xml:space="preserve">students need to be placed in situations that are judged likely to elicit the required learnings.</w:t>
      </w:r>
    </w:p>
    <w:p>
      <w:pPr>
        <w:numPr>
          <w:ilvl w:val="0"/>
          <w:numId w:val="1003"/>
        </w:numPr>
        <w:pStyle w:val="Compact"/>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4"/>
        </w:numPr>
        <w:pStyle w:val="Compact"/>
      </w:pPr>
      <w:r>
        <w:t xml:space="preserve">Gegenstand und Sinn, Fach-Sinn und Werk-Sinn</w:t>
      </w:r>
    </w:p>
    <w:p>
      <w:pPr>
        <w:numPr>
          <w:ilvl w:val="0"/>
          <w:numId w:val="1004"/>
        </w:numPr>
        <w:pStyle w:val="Compact"/>
      </w:pPr>
      <w:r>
        <w:t xml:space="preserve">Artikulation, Kommunikation, Soziale Organisation</w:t>
      </w:r>
    </w:p>
    <w:p>
      <w:pPr>
        <w:numPr>
          <w:ilvl w:val="0"/>
          <w:numId w:val="1004"/>
        </w:numPr>
        <w:pStyle w:val="Compact"/>
      </w:pPr>
      <w:r>
        <w:t xml:space="preserve">Differenzieren</w:t>
      </w:r>
    </w:p>
    <w:p>
      <w:pPr>
        <w:numPr>
          <w:ilvl w:val="0"/>
          <w:numId w:val="1004"/>
        </w:numPr>
        <w:pStyle w:val="Compact"/>
      </w:pPr>
      <w:r>
        <w:t xml:space="preserve">Logistik</w:t>
      </w:r>
    </w:p>
    <w:p>
      <w:pPr>
        <w:numPr>
          <w:ilvl w:val="0"/>
          <w:numId w:val="1004"/>
        </w:numPr>
        <w:pStyle w:val="Compact"/>
      </w:pPr>
      <w:r>
        <w:t xml:space="preserve">Evaluation</w:t>
      </w:r>
    </w:p>
    <w:p>
      <w:pPr>
        <w:numPr>
          <w:ilvl w:val="0"/>
          <w:numId w:val="1004"/>
        </w:numPr>
        <w:pStyle w:val="Compact"/>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Cs/>
          <w:i/>
        </w:rPr>
        <w:t xml:space="preserve">Higher Education</w:t>
      </w:r>
      <w:r>
        <w:t xml:space="preserve">,</w:t>
      </w:r>
      <w:r>
        <w:t xml:space="preserve"> </w:t>
      </w:r>
      <w:r>
        <w:rPr>
          <w:iCs/>
          <w:i/>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
  <dc:language>de</dc:language>
  <cp:keywords/>
  <dcterms:created xsi:type="dcterms:W3CDTF">2024-10-08T14:04:22Z</dcterms:created>
  <dcterms:modified xsi:type="dcterms:W3CDTF">2024-10-08T14:04:22Z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o-agenda">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citation">
    <vt:lpwstr/>
  </property>
  <property fmtid="{D5CDD505-2E9C-101B-9397-08002B2CF9AE}" pid="9" name="csl">
    <vt:lpwstr>../../bibliographien/apa7.csl</vt:lpwstr>
  </property>
  <property fmtid="{D5CDD505-2E9C-101B-9397-08002B2CF9AE}" pid="10" name="date-format">
    <vt:lpwstr>DD.MM.YYYY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ermaid">
    <vt:lpwstr/>
  </property>
  <property fmtid="{D5CDD505-2E9C-101B-9397-08002B2CF9AE}" pid="16" name="theme">
    <vt:lpwstr/>
  </property>
  <property fmtid="{D5CDD505-2E9C-101B-9397-08002B2CF9AE}" pid="17" name="toc-title">
    <vt:lpwstr>Inhaltsverzeichnis</vt:lpwstr>
  </property>
</Properties>
</file>