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Rationale</w:t>
      </w:r>
      <w:r>
        <w:t xml:space="preserve"> </w:t>
      </w:r>
      <w:r>
        <w:t xml:space="preserve">Zahlen</w:t>
      </w:r>
    </w:p>
    <w:p>
      <w:pPr>
        <w:pStyle w:val="Subtitle"/>
      </w:pPr>
      <w:r>
        <w:t xml:space="preserve">Brüche</w:t>
      </w:r>
      <w:r>
        <w:t xml:space="preserve"> </w:t>
      </w:r>
      <w:r>
        <w:t xml:space="preserve">kürzen</w:t>
      </w:r>
      <w:r>
        <w:t xml:space="preserve"> </w:t>
      </w:r>
      <w:r>
        <w:t xml:space="preserve">und</w:t>
      </w:r>
      <w:r>
        <w:t xml:space="preserve"> </w:t>
      </w:r>
      <w:r>
        <w:t xml:space="preserve">erweitern,</w:t>
      </w:r>
      <w:r>
        <w:t xml:space="preserve"> </w:t>
      </w:r>
      <w:r>
        <w:t xml:space="preserve">sowie</w:t>
      </w:r>
      <w:r>
        <w:t xml:space="preserve"> </w:t>
      </w:r>
      <w:r>
        <w:t xml:space="preserve">addieren</w:t>
      </w:r>
      <w:r>
        <w:t xml:space="preserve"> </w:t>
      </w:r>
      <w:r>
        <w:t xml:space="preserve">und</w:t>
      </w:r>
      <w:r>
        <w:t xml:space="preserve"> </w:t>
      </w:r>
      <w:r>
        <w:t xml:space="preserve">subtrahieren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Eine</w:t>
      </w:r>
      <w:r>
        <w:t xml:space="preserve"> </w:t>
      </w:r>
      <w:r>
        <w:t xml:space="preserve">Doppellektion</w:t>
      </w:r>
      <w:r>
        <w:t xml:space="preserve"> </w:t>
      </w:r>
      <w:r>
        <w:t xml:space="preserve">zum</w:t>
      </w:r>
      <w:r>
        <w:t xml:space="preserve"> </w:t>
      </w:r>
      <w:r>
        <w:t xml:space="preserve">Thema</w:t>
      </w:r>
      <w:r>
        <w:t xml:space="preserve"> </w:t>
      </w:r>
      <w:r>
        <w:t xml:space="preserve">Brüche</w:t>
      </w:r>
      <w:r>
        <w:t xml:space="preserve"> </w:t>
      </w:r>
      <w:r>
        <w:t xml:space="preserve">kürzen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8" w:name="lehrpersonensonkommentar"/>
    <w:p>
      <w:pPr>
        <w:pStyle w:val="Heading1"/>
      </w:pPr>
      <w:r>
        <w:t xml:space="preserve">Lehrpersonensonkommentar</w:t>
      </w:r>
    </w:p>
    <w:bookmarkStart w:id="20" w:name="section"/>
    <w:p>
      <w:pPr>
        <w:pStyle w:val="Heading2"/>
      </w:pPr>
    </w:p>
    <w:p>
      <w:pPr>
        <w:pStyle w:val="FirstParagraph"/>
      </w:pPr>
      <w:r>
        <w:t xml:space="preserve">Voraussetzungen</w:t>
      </w:r>
    </w:p>
    <w:p>
      <w:pPr>
        <w:pStyle w:val="BodyText"/>
      </w:pPr>
      <w:r>
        <w:t xml:space="preserve">Diese Lernumgebung befasst sich mit dem Thema Brüche. Die folgenden Themen werden im Detail behandelt.</w:t>
      </w:r>
    </w:p>
    <w:p>
      <w:pPr>
        <w:pStyle w:val="Compact"/>
        <w:numPr>
          <w:ilvl w:val="0"/>
          <w:numId w:val="1001"/>
        </w:numPr>
      </w:pPr>
      <w:r>
        <w:t xml:space="preserve">Repetition, was ist ein Bruch?</w:t>
      </w:r>
    </w:p>
    <w:p>
      <w:pPr>
        <w:pStyle w:val="Compact"/>
        <w:numPr>
          <w:ilvl w:val="0"/>
          <w:numId w:val="1001"/>
        </w:numPr>
      </w:pPr>
      <w:r>
        <w:t xml:space="preserve">Wert (Grösse) eines Bruches</w:t>
      </w:r>
    </w:p>
    <w:p>
      <w:pPr>
        <w:pStyle w:val="Compact"/>
        <w:numPr>
          <w:ilvl w:val="0"/>
          <w:numId w:val="1001"/>
        </w:numPr>
      </w:pPr>
      <w:r>
        <w:t xml:space="preserve">Brüche kürzen und erweitern</w:t>
      </w:r>
    </w:p>
    <w:p>
      <w:pPr>
        <w:pStyle w:val="Compact"/>
        <w:numPr>
          <w:ilvl w:val="0"/>
          <w:numId w:val="1001"/>
        </w:numPr>
      </w:pPr>
      <w:r>
        <w:t xml:space="preserve">Brüche addieren und subtrahieren</w:t>
      </w:r>
    </w:p>
    <w:p>
      <w:pPr>
        <w:pStyle w:val="FirstParagraph"/>
      </w:pPr>
      <w:r>
        <w:t xml:space="preserve">Es wird vorausgesetzt, dass der Begriff „Bruch” kein Fremdwort für die Schüler</w:t>
      </w:r>
      <w:r>
        <w:rPr>
          <w:i/>
          <w:iCs/>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pStyle w:val="Compact"/>
        <w:numPr>
          <w:ilvl w:val="0"/>
          <w:numId w:val="1002"/>
        </w:numPr>
      </w:pPr>
      <w:r>
        <w:t xml:space="preserve">Ich weiss, dass jeder Bruch einen bestimmten Wert besitzt und dieser in einer Dezimalzahl darstellbar ist.</w:t>
      </w:r>
    </w:p>
    <w:p>
      <w:pPr>
        <w:pStyle w:val="Compact"/>
        <w:numPr>
          <w:ilvl w:val="0"/>
          <w:numId w:val="1002"/>
        </w:numPr>
      </w:pPr>
      <w:r>
        <w:t xml:space="preserve">Ich kann Brüche auf dem Zahlenstrahl einordnen.</w:t>
      </w:r>
    </w:p>
    <w:p>
      <w:pPr>
        <w:pStyle w:val="Compact"/>
        <w:numPr>
          <w:ilvl w:val="0"/>
          <w:numId w:val="1002"/>
        </w:numPr>
      </w:pPr>
      <w:r>
        <w:t xml:space="preserve">Ich kann Brüche kürzen und erweitern.</w:t>
      </w:r>
    </w:p>
    <w:p>
      <w:pPr>
        <w:pStyle w:val="Compact"/>
        <w:numPr>
          <w:ilvl w:val="0"/>
          <w:numId w:val="1002"/>
        </w:numPr>
      </w:pPr>
      <w:r>
        <w:t xml:space="preserve">Ich kann Brüche addieren und subtrahieren.</w:t>
      </w:r>
    </w:p>
    <w:p>
      <w:pPr>
        <w:pStyle w:val="FirstParagraph"/>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20"/>
    <w:bookmarkStart w:id="21" w:name="section-1"/>
    <w:p>
      <w:pPr>
        <w:pStyle w:val="Heading2"/>
      </w:pPr>
    </w:p>
    <w:p>
      <w:pPr>
        <w:pStyle w:val="FirstParagraph"/>
      </w:pPr>
      <w:r>
        <w:t xml:space="preserve">Voraussetzungen</w:t>
      </w:r>
    </w:p>
    <w:p>
      <w:pPr>
        <w:pStyle w:val="BodyText"/>
      </w:pPr>
      <w:r>
        <w:t xml:space="preserve">Diese Lernumgebung befasst sich mit dem Thema Brüche. Die folgenden Themen werden im Detail behandelt.</w:t>
      </w:r>
    </w:p>
    <w:p>
      <w:pPr>
        <w:pStyle w:val="SourceCode"/>
      </w:pPr>
      <w:r>
        <w:rPr>
          <w:rStyle w:val="VerbatimChar"/>
        </w:rPr>
        <w:t xml:space="preserve">Repetition, was ist ein Bruch?</w:t>
      </w:r>
      <w:r>
        <w:br/>
      </w:r>
      <w:r>
        <w:rPr>
          <w:rStyle w:val="VerbatimChar"/>
        </w:rPr>
        <w:t xml:space="preserve">Wert (Grösse) eines Bruches</w:t>
      </w:r>
      <w:r>
        <w:br/>
      </w:r>
      <w:r>
        <w:rPr>
          <w:rStyle w:val="VerbatimChar"/>
        </w:rPr>
        <w:t xml:space="preserve">Brüche kürzen und erweitern</w:t>
      </w:r>
      <w:r>
        <w:br/>
      </w:r>
      <w:r>
        <w:rPr>
          <w:rStyle w:val="VerbatimChar"/>
        </w:rPr>
        <w:t xml:space="preserve">Brüche addieren und subtrahieren</w:t>
      </w:r>
    </w:p>
    <w:p>
      <w:pPr>
        <w:pStyle w:val="FirstParagraph"/>
      </w:pPr>
      <w:r>
        <w:t xml:space="preserve">Es wird vorausgesetzt, dass der Begriff „Bruch” kein Fremdwort für die Schüler</w:t>
      </w:r>
      <w:r>
        <w:rPr>
          <w:i/>
          <w:iCs/>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pStyle w:val="BodyText"/>
      </w:pPr>
      <w:r>
        <w:t xml:space="preserve">Ich weiss, dass jeder Bruch einen bestimmten Wert besitzt und dieser in einer Dezimalzahl darstellbar ist.</w:t>
      </w:r>
    </w:p>
    <w:p>
      <w:pPr>
        <w:pStyle w:val="BodyText"/>
      </w:pPr>
      <w:r>
        <w:t xml:space="preserve">🙂</w:t>
      </w:r>
    </w:p>
    <w:p>
      <w:pPr>
        <w:pStyle w:val="BodyText"/>
      </w:pPr>
      <w:r>
        <w:t xml:space="preserve">😬</w:t>
      </w:r>
    </w:p>
    <w:p>
      <w:pPr>
        <w:pStyle w:val="BodyText"/>
      </w:pPr>
      <w:r>
        <w:t xml:space="preserve">🙁</w:t>
      </w:r>
    </w:p>
    <w:p>
      <w:pPr>
        <w:pStyle w:val="BodyText"/>
      </w:pPr>
      <w:r>
        <w:t xml:space="preserve">Ich kann Brüche auf dem Zahlenstrahl einordnen.</w:t>
      </w:r>
    </w:p>
    <w:p>
      <w:pPr>
        <w:pStyle w:val="BodyText"/>
      </w:pPr>
      <w:r>
        <w:t xml:space="preserve">🙂</w:t>
      </w:r>
    </w:p>
    <w:p>
      <w:pPr>
        <w:pStyle w:val="BodyText"/>
      </w:pPr>
      <w:r>
        <w:t xml:space="preserve">😬</w:t>
      </w:r>
    </w:p>
    <w:p>
      <w:pPr>
        <w:pStyle w:val="BodyText"/>
      </w:pPr>
      <w:r>
        <w:t xml:space="preserve">🙁</w:t>
      </w:r>
    </w:p>
    <w:p>
      <w:pPr>
        <w:pStyle w:val="BodyText"/>
      </w:pPr>
      <w:r>
        <w:t xml:space="preserve">Ich kann Brüche kürzen und erweitern.</w:t>
      </w:r>
    </w:p>
    <w:p>
      <w:pPr>
        <w:pStyle w:val="BodyText"/>
      </w:pPr>
      <w:r>
        <w:t xml:space="preserve">🙂</w:t>
      </w:r>
    </w:p>
    <w:p>
      <w:pPr>
        <w:pStyle w:val="BodyText"/>
      </w:pPr>
      <w:r>
        <w:t xml:space="preserve">😬</w:t>
      </w:r>
    </w:p>
    <w:p>
      <w:pPr>
        <w:pStyle w:val="BodyText"/>
      </w:pPr>
      <w:r>
        <w:t xml:space="preserve">🙁</w:t>
      </w:r>
    </w:p>
    <w:p>
      <w:pPr>
        <w:pStyle w:val="BodyText"/>
      </w:pPr>
      <w:r>
        <w:t xml:space="preserve">Ich kann Brüche addieren und subtrahieren.</w:t>
      </w:r>
    </w:p>
    <w:p>
      <w:pPr>
        <w:pStyle w:val="BodyText"/>
      </w:pPr>
      <w:r>
        <w:t xml:space="preserve">🙂</w:t>
      </w:r>
    </w:p>
    <w:p>
      <w:pPr>
        <w:pStyle w:val="BodyText"/>
      </w:pPr>
      <w:r>
        <w:t xml:space="preserve">😬</w:t>
      </w:r>
    </w:p>
    <w:p>
      <w:pPr>
        <w:pStyle w:val="BodyText"/>
      </w:pPr>
      <w:r>
        <w:t xml:space="preserve">🙁</w:t>
      </w:r>
    </w:p>
    <w:p>
      <w:pPr>
        <w:pStyle w:val="BodyText"/>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21"/>
    <w:bookmarkStart w:id="22" w:name="allgemeines"/>
    <w:p>
      <w:pPr>
        <w:pStyle w:val="Heading2"/>
      </w:pPr>
      <w:r>
        <w:t xml:space="preserve">Allgemeines</w:t>
      </w:r>
    </w:p>
    <w:p>
      <w:pPr>
        <w:pStyle w:val="FirstParagraph"/>
      </w:pPr>
      <w:r>
        <w:t xml:space="preserve">Die Lernumgebung beinhaltet Theorie und die dazupassenden Übungsaufgaben. Zu jedem Thema gibt es einen gemeinsamen Einstig mit den Schüler</w:t>
      </w:r>
      <w:r>
        <w:rPr>
          <w:i/>
          <w:iCs/>
        </w:rPr>
        <w:t xml:space="preserve">innen. Die Übungsaufgaben sind folgendermassen gekennzeichnet: g: grundlegend, e: erweitert,</w:t>
      </w:r>
      <w:r>
        <w:rPr>
          <w:i/>
          <w:iCs/>
        </w:rPr>
        <w:t xml:space="preserve"> </w:t>
      </w:r>
      <w:r>
        <w:t xml:space="preserve">: Expert. Wenn Schüler</w:t>
      </w:r>
      <w:r>
        <w:rPr>
          <w:i/>
          <w:iCs/>
        </w:rPr>
        <w:t xml:space="preserve">innen auf der jeweiligen Stufe Schwierigkeiten bekunden, empfiehlt es sich zusätzlich weitere Aufgaben mit ähnlichem Schwierigkeitsgrad zu lösen. Das Gleiches gilt für leistungsstärkere Schüler</w:t>
      </w:r>
      <w:r>
        <w:t xml:space="preserve">innen. Sie sollten mit weiteren Aufgaben gefördert werden. Die Aufgaben und Spiele, welche in Papierform gebraucht werden, können als PDF-Datei heruntergeladen werden.</w:t>
      </w:r>
    </w:p>
    <w:bookmarkEnd w:id="22"/>
    <w:bookmarkStart w:id="23" w:name="was-ist-schon-wieder-ein-bruch"/>
    <w:p>
      <w:pPr>
        <w:pStyle w:val="Heading2"/>
      </w:pPr>
      <w:r>
        <w:t xml:space="preserve">Was ist schon wieder ein Bruch?</w:t>
      </w:r>
    </w:p>
    <w:p>
      <w:pPr>
        <w:pStyle w:val="FirstParagraph"/>
      </w:pPr>
      <w:r>
        <w:t xml:space="preserve">Um den Schüler</w:t>
      </w:r>
      <w:r>
        <w:rPr>
          <w:i/>
          <w:iCs/>
        </w:rPr>
        <w:t xml:space="preserve">innen zu zeigen, wofür das Bruchrechnen wichtig ist, kann man eine anspruchsvolle alltagsbezogene Aufgabe stellen. Wenn der Alltagsbezug geschickt die Interessen der Schüler</w:t>
      </w:r>
      <w:r>
        <w:t xml:space="preserve">innen anspricht, fördert dies deren Motivation und Aufmerksamkeit.</w:t>
      </w:r>
    </w:p>
    <w:p>
      <w:pPr>
        <w:pStyle w:val="BodyText"/>
      </w:pPr>
      <w:r>
        <w:t xml:space="preserve">Zum Beispiel: Angenommen, du möchtest einen Smoothie aus verschiedenen Getränken und Säften herstellen. Du hast folgende Mengen zur Verfügung: 1/3 Liter Orangensaft, 2/5 Liter Apfelsaft, 1/4 Liter Traubensaft und 1/6 Waser.</w:t>
      </w:r>
    </w:p>
    <w:p>
      <w:pPr>
        <w:pStyle w:val="Compact"/>
        <w:numPr>
          <w:ilvl w:val="0"/>
          <w:numId w:val="1003"/>
        </w:numPr>
      </w:pPr>
      <w:r>
        <w:t xml:space="preserve">Wie viel Saft hast du insgesamt?</w:t>
      </w:r>
    </w:p>
    <w:p>
      <w:pPr>
        <w:pStyle w:val="Compact"/>
        <w:numPr>
          <w:ilvl w:val="0"/>
          <w:numId w:val="1003"/>
        </w:numPr>
      </w:pPr>
      <w:r>
        <w:t xml:space="preserve">Du trinkst nur 3/4 von dem Saft. Wieviel hast du noch übrig?</w:t>
      </w:r>
    </w:p>
    <w:p>
      <w:pPr>
        <w:pStyle w:val="FirstParagraph"/>
      </w:pPr>
      <w:r>
        <w:t xml:space="preserve">Eine solche Aufgabe können die Schüler</w:t>
      </w:r>
      <w:r>
        <w:rPr>
          <w:i/>
          <w:iCs/>
        </w:rPr>
        <w:t xml:space="preserve">innen vorerst kurz versuchen zu lösen. Anschliessend folgt eine Besprechung im Klassenverband, um die Lösungsvorschläge der Schüler</w:t>
      </w:r>
      <w:r>
        <w:t xml:space="preserve">innen zu sammeln. Es ist nicht das Ziel, dass die Schüler</w:t>
      </w:r>
      <w:r>
        <w:rPr>
          <w:i/>
          <w:iCs/>
        </w:rPr>
        <w:t xml:space="preserve">innen bereits die Aufgabe lösen, sondern die Lehrperson kann daraus schliessen, wieviel Wissen die Schüler</w:t>
      </w:r>
      <w:r>
        <w:t xml:space="preserve">innen im Thema Brüche bereits besitzen.</w:t>
      </w:r>
    </w:p>
    <w:p>
      <w:pPr>
        <w:pStyle w:val="BodyText"/>
      </w:pPr>
      <w:r>
        <w:t xml:space="preserve">Danach kann das Spiel „Bruchpaare” gespielt werden. Abschliessend können die Schüler*innen den Theorieblock lesen.</w:t>
      </w:r>
    </w:p>
    <w:bookmarkEnd w:id="23"/>
    <w:bookmarkStart w:id="24" w:name="X5822a603ba9bc3f109a9cbc9c21b861ba3a199f"/>
    <w:p>
      <w:pPr>
        <w:pStyle w:val="Heading2"/>
      </w:pPr>
      <w:r>
        <w:t xml:space="preserve">Verschiedene Brüche, die alle denselben Wert haben</w:t>
      </w:r>
    </w:p>
    <w:p>
      <w:pPr>
        <w:pStyle w:val="FirstParagraph"/>
      </w:pPr>
      <w:r>
        <w:t xml:space="preserve">Bei diesem Thema können die Schüler*innen die Grösse eines Bruches erkunden. Sie entdecken, dass verschiedene Brüche den gleichen Wert haben. Zudem erfolgen bereits erste Annäherungen zum Kürzen und Erweitern.</w:t>
      </w:r>
    </w:p>
    <w:p>
      <w:pPr>
        <w:pStyle w:val="BodyText"/>
      </w:pPr>
      <w:r>
        <w:t xml:space="preserve">Die Lehrperson erstellt einen grossen Zahlenstrahl auf dem Boden des Klassenzimmers. Dies funktioniert sehr einfach mit Malerklebeband. Nun sollen die Schüler</w:t>
      </w:r>
      <w:r>
        <w:rPr>
          <w:i/>
          <w:iCs/>
        </w:rPr>
        <w:t xml:space="preserve">innen Brüche und Dezimalzahlen einordnen. Entweder gibt man die Brüche und Dezimalzahlen vor oder die Schüler</w:t>
      </w:r>
      <w:r>
        <w:t xml:space="preserve">innen schrieben selbst welche auf einen Zettel. Wichtig zu beachten ist, dass der Bruch jeweils auch in dessen Dezimalzahl vorhanden ist. So erkennen die Schüler</w:t>
      </w:r>
      <w:r>
        <w:rPr>
          <w:i/>
          <w:iCs/>
        </w:rPr>
        <w:t xml:space="preserve">innen den Zusammenhang zwischen Bruch und Dezimalzahl. Nach dem Einordnen wird der Zahlenstrahl zusammen im Klassenverband korrigiert. Dabei sollen die Schüler</w:t>
      </w:r>
      <w:r>
        <w:t xml:space="preserve">innen falsch eingeordnete Zettel, unter Aufsicht und dem O.K. der Lehrperson, neu anordnen.</w:t>
      </w:r>
    </w:p>
    <w:p>
      <w:pPr>
        <w:pStyle w:val="BodyText"/>
      </w:pPr>
      <w:r>
        <w:t xml:space="preserve">Abschliessend können die Schüler*innen zwei bis drei selbstgewählte Brüche mit Dezimalzahl in der Lernumgebung einordnen und die Aufgaben lösen.</w:t>
      </w:r>
    </w:p>
    <w:bookmarkEnd w:id="24"/>
    <w:bookmarkStart w:id="25" w:name="brüche-kürzen-und-erweitern"/>
    <w:p>
      <w:pPr>
        <w:pStyle w:val="Heading2"/>
      </w:pPr>
      <w:r>
        <w:t xml:space="preserve">Brüche kürzen und erweitern</w:t>
      </w:r>
    </w:p>
    <w:p>
      <w:pPr>
        <w:pStyle w:val="FirstParagraph"/>
      </w:pPr>
      <w:r>
        <w:t xml:space="preserve">Kürzen</w:t>
      </w:r>
    </w:p>
    <w:p>
      <w:pPr>
        <w:pStyle w:val="BodyText"/>
      </w:pPr>
      <w:r>
        <w:t xml:space="preserve">Zuerst kann die Lehrperson den Schüler</w:t>
      </w:r>
      <w:r>
        <w:rPr>
          <w:i/>
          <w:iCs/>
        </w:rPr>
        <w:t xml:space="preserve">innen mitteilen, dass das Kürzen und Erweitern der Brüche ein bedeutender Punkt ist, welcher bei der Addition und Subtraktion zentral wird (Sinnvermittlung). Daraufhin notiert die Lehrperson einen Bruch mit grossem Zähler und grossem Nenner, beispielsweise 24/48, an die Wandtafel. Sie fragt die Klasse nach dem Wert dieses Bruches, sprich, welche Dezimalzahl diesen Bruch darstellt. Da dies ein einfacher Bruch ist, ist die Wahrscheinlichkeit sehr gross, dass jemand die Antwort weiss. Anschliessend fragt die Lehrperson die Klasse, ob sie noch weitere Brüche kennen mit dem Wert 0,5. Anhand den genannten Brüchen kann die Lehrperson das Kürzen, wie in der Lernumgebung dargestellt, vorzeigen. Nachfolgend können zwei weitere Beispiele im Klassenverband gelöst werden, bevor die Schüler</w:t>
      </w:r>
      <w:r>
        <w:t xml:space="preserve">innen die Aufgaben in der Lernumgebung lösen.</w:t>
      </w:r>
    </w:p>
    <w:p>
      <w:pPr>
        <w:pStyle w:val="BodyText"/>
      </w:pPr>
      <w:r>
        <w:t xml:space="preserve">Erweitern</w:t>
      </w:r>
    </w:p>
    <w:p>
      <w:pPr>
        <w:pStyle w:val="BodyText"/>
      </w:pPr>
      <w:r>
        <w:t xml:space="preserve">Die Einführung in das Erweitern erfolgt nach den gleichen Schritten wie das Kürzen. Diese Einführung könnte durchaus mit 1-2 „fitten” Schüler</w:t>
      </w:r>
      <w:r>
        <w:rPr>
          <w:i/>
          <w:iCs/>
        </w:rPr>
        <w:t xml:space="preserve">innen gemeinsam an der Wandtafel gemacht werden. Dadurch wird den Schüler</w:t>
      </w:r>
      <w:r>
        <w:t xml:space="preserve">innen Verantwortung übertragen und sie finden sich in neuen Situationen wieder. Dies kann positive Auswirkungen auf den Unterricht haben. Vielleicht wirkt es motivierend auf Mitschüler</w:t>
      </w:r>
      <w:r>
        <w:rPr>
          <w:i/>
          <w:iCs/>
        </w:rPr>
        <w:t xml:space="preserve">innen, wenn gleichaltrige Themen vermitteln oder sie sind zumindest aufmerksamer. Schliesslich lesen die Schüler</w:t>
      </w:r>
      <w:r>
        <w:t xml:space="preserve">innen die Theorie und lösen die Aufgaben in der Lernumgebung.</w:t>
      </w:r>
    </w:p>
    <w:bookmarkEnd w:id="25"/>
    <w:bookmarkStart w:id="26" w:name="brüche-addieren-und-subtrahieren"/>
    <w:p>
      <w:pPr>
        <w:pStyle w:val="Heading2"/>
      </w:pPr>
      <w:r>
        <w:t xml:space="preserve">Brüche addieren und subtrahieren</w:t>
      </w:r>
    </w:p>
    <w:p>
      <w:pPr>
        <w:pStyle w:val="FirstParagraph"/>
      </w:pPr>
      <w:r>
        <w:t xml:space="preserve">Addition</w:t>
      </w:r>
    </w:p>
    <w:p>
      <w:pPr>
        <w:pStyle w:val="BodyText"/>
      </w:pPr>
      <w:r>
        <w:t xml:space="preserve">Hier lesen die Schüler</w:t>
      </w:r>
      <w:r>
        <w:rPr>
          <w:i/>
          <w:iCs/>
        </w:rPr>
        <w:t xml:space="preserve">innen den Theorieblock in der Lernumgebung aufmerksam durch. Danach zeigt die Lehrperson an der Wandtafel, wie das Lösen einer Addition mit dem Rechteckmodell funktioniert. In zwei weiteren Beispielen sollen bereits wieder Schüler</w:t>
      </w:r>
      <w:r>
        <w:t xml:space="preserve">innen nach vorne kommen, um gemeinsam die Rechteckmodelle zu erstellen. Dann lösen die Schüler*innen die Aufgaben in der Lernumgebung.</w:t>
      </w:r>
    </w:p>
    <w:p>
      <w:pPr>
        <w:pStyle w:val="BodyText"/>
      </w:pPr>
      <w:r>
        <w:t xml:space="preserve">Subtraktion</w:t>
      </w:r>
    </w:p>
    <w:p>
      <w:pPr>
        <w:pStyle w:val="BodyText"/>
      </w:pPr>
      <w:r>
        <w:t xml:space="preserve">Wiederum lesen die Schüler*innen zuerst den Theorieblock, können jedoch danach selbständig mit dem Lösen von Aufgaben beginnen. Auf eine Veranschaulichung mit dem Rechteckmodell habe ich bei der Subtraktion bewusst verzichtet. Im Fokus stehen die gleichen Abläufe wie bei der Addition mit der Ausnahme das Zähler plus Zähler zu Zähler minus Zähler wird.</w:t>
      </w:r>
    </w:p>
    <w:bookmarkEnd w:id="26"/>
    <w:bookmarkStart w:id="27" w:name="X767a88e832a6390e26d18ad0479afb9689ad2d0"/>
    <w:p>
      <w:pPr>
        <w:pStyle w:val="Heading2"/>
      </w:pPr>
      <w:r>
        <w:t xml:space="preserve">Anwenden von Gelerntem ausserhalb von Lernsituationen</w:t>
      </w:r>
    </w:p>
    <w:p>
      <w:pPr>
        <w:pStyle w:val="FirstParagraph"/>
      </w:pPr>
      <w:r>
        <w:t xml:space="preserve">Nach dieser Lernumgebung und der darauffolgenden beherrschen die Schüler</w:t>
      </w:r>
      <w:r>
        <w:rPr>
          <w:i/>
          <w:iCs/>
        </w:rPr>
        <w:t xml:space="preserve">innen das Operieren mit Brüchen. Bereits nach dieser oder nach beiden Lernumgebungen kann das Gelernte ausserhalb von Lernsituationen angewendet werden. Eine Möglichkeit in der Mathematik ist das Lösen von Fermi-Fragen. Von Vorteile wäre natürlich wenn die Schüler</w:t>
      </w:r>
      <w:r>
        <w:t xml:space="preserve">innen beim Lösen der Fermi-Frage auf Brüche treffen würden. Zu beachten ist, dass die Transferierbarkeit von Wissen abhängig ist von den Ähnlichkeiten zwischen Basis- und Zielaufgaben, den Ähnlichkeiten der Kontexte und natürlich von dem Vorwissen und der Motivation der Lernenden.</w:t>
      </w:r>
    </w:p>
    <w:p>
      <w:pPr>
        <w:pStyle w:val="BodyText"/>
      </w:pPr>
      <w:r>
        <w:t xml:space="preserve">Literatur:</w:t>
      </w:r>
    </w:p>
    <w:p>
      <w:pPr>
        <w:pStyle w:val="BodyText"/>
      </w:pPr>
      <w:r>
        <w:t xml:space="preserve">Deutschschweizer Erziehungsdirektoren-Konferenz. (2016). Lehrplan 21: Broschüre Mathematik (S. 12). D-EDK.</w:t>
      </w:r>
    </w:p>
    <w:bookmarkEnd w:id="27"/>
    <w:bookmarkEnd w:id="28"/>
    <w:bookmarkStart w:id="32" w:name="vertiefung"/>
    <w:p>
      <w:pPr>
        <w:pStyle w:val="Heading1"/>
      </w:pPr>
      <w:r>
        <w:t xml:space="preserve">Vertiefung</w:t>
      </w:r>
    </w:p>
    <w:bookmarkStart w:id="31" w:name="lernphasen"/>
    <w:p>
      <w:pPr>
        <w:pStyle w:val="Heading2"/>
      </w:pPr>
      <w:r>
        <w:t xml:space="preserve">Lernphasen</w:t>
      </w:r>
    </w:p>
    <w:p>
      <w:pPr>
        <w:pStyle w:val="FirstParagraph"/>
      </w:pPr>
      <w:r>
        <w:t xml:space="preserve">Im ersten Teil meiner Vertiefung möchte ich mit dem Verlauf eines Lernprozesses beschäftigen. Dazu fokussiere ich mich auf die zwei Strukturen, in welche die Lektionen aufgeteilt werden können. Einerseits ist das die Sicht- und Oberflächenstruktur, welche den zeitlichen Lektionsverlauf beschreibt, anderseits die Tiefenstruktur, welche den Lernprozess ersichtlich macht (Meyer, 2013).</w:t>
      </w:r>
    </w:p>
    <w:bookmarkStart w:id="29" w:name="sicht--und-oberflächenstruktur"/>
    <w:p>
      <w:pPr>
        <w:pStyle w:val="Heading3"/>
      </w:pPr>
      <w:r>
        <w:t xml:space="preserve">Sicht- und Oberflächenstruktur</w:t>
      </w:r>
    </w:p>
    <w:p>
      <w:pPr>
        <w:pStyle w:val="FirstParagraph"/>
      </w:pPr>
      <w:r>
        <w:t xml:space="preserve">Die Sicht- und Oberflächenstruktur ist die zeitliche Gliederung des Unterrichts. Eine mögliche Gliederung ist die Aufteilung der Lektion in Einstieg, Hauptteil und Schluss.</w:t>
      </w:r>
    </w:p>
    <w:p>
      <w:pPr>
        <w:pStyle w:val="BodyText"/>
      </w:pPr>
      <w:r>
        <w:t xml:space="preserve">Der Einstieg dient dazu, das Interesse der Schüler</w:t>
      </w:r>
      <w:r>
        <w:rPr>
          <w:i/>
          <w:iCs/>
        </w:rPr>
        <w:t xml:space="preserve">innen zu wecken. Gleichzeitig wird ihnen das Unterrichtsthema vorgestellt. Darüber hinaus kann der Einstieg genutzt werden, um die Aufmerksamkeit der Schüler</w:t>
      </w:r>
      <w:r>
        <w:t xml:space="preserve">innen zu fokussieren und das Thema für sie sinnhaft zu machen.</w:t>
      </w:r>
    </w:p>
    <w:p>
      <w:pPr>
        <w:pStyle w:val="BodyText"/>
      </w:pPr>
      <w:r>
        <w:t xml:space="preserve">Im Hauptteil einer Lektion wird der Kerninhalt vermittelt. Hier wird das eigentliche Thema der Lektion erarbeitet, vertieft und angewendet. Die Schüler*innen beschäftigen sich mit dem Thema, sei es durch Erklärungen, Diskussionen, Übungen oder praktische Aufgaben.</w:t>
      </w:r>
    </w:p>
    <w:p>
      <w:pPr>
        <w:pStyle w:val="BodyText"/>
      </w:pPr>
      <w:r>
        <w:t xml:space="preserve">In einem Abschluss kann das Gelernte in einem Rückblick sichtbar gemacht werden (Ergebnissicherung).</w:t>
      </w:r>
    </w:p>
    <w:bookmarkEnd w:id="29"/>
    <w:bookmarkStart w:id="30" w:name="tiefenstruktur"/>
    <w:p>
      <w:pPr>
        <w:pStyle w:val="Heading3"/>
      </w:pPr>
      <w:r>
        <w:t xml:space="preserve">Tiefenstruktur</w:t>
      </w:r>
    </w:p>
    <w:p>
      <w:pPr>
        <w:pStyle w:val="FirstParagraph"/>
      </w:pPr>
      <w:r>
        <w:t xml:space="preserve">Der Lernprozess ist schlecht in einer einzigen Lektion oder Doppellektion ersichtlich, sondern er offenbart sich erst nach 2-3 Stunden. Der Lernprozess lässt sich am besten in Lernphasenmodelle aufzeigen. Solche Lernphasenmodelle beziehen sich auf den Lernprozess und nicht auf die zeitliche Gliederung. Ich werde nun meine Lernumgebung mit Hilfe des PADUA Modells (Aebli, 2011) analysieren.</w:t>
      </w:r>
    </w:p>
    <w:tbl>
      <w:tblPr>
        <w:tblStyle w:val="Table"/>
        <w:tblW w:type="pct" w:w="5000"/>
        <w:tblLayout w:type="fixed"/>
        <w:tblLook w:firstRow="1" w:lastRow="0" w:firstColumn="0" w:lastColumn="0" w:noHBand="0" w:noVBand="0" w:val="0020"/>
      </w:tblPr>
      <w:tblGrid>
        <w:gridCol w:w="1577"/>
        <w:gridCol w:w="6342"/>
      </w:tblGrid>
      <w:tr>
        <w:trPr>
          <w:tblHeader w:val="on"/>
        </w:trPr>
        <w:tc>
          <w:tcPr/>
          <w:p>
            <w:pPr>
              <w:pStyle w:val="Compact"/>
              <w:jc w:val="left"/>
            </w:pPr>
            <w:r>
              <w:rPr>
                <w:b/>
                <w:bCs/>
              </w:rPr>
              <w:t xml:space="preserve">Schritt</w:t>
            </w:r>
          </w:p>
        </w:tc>
        <w:tc>
          <w:tcPr/>
          <w:p>
            <w:pPr>
              <w:pStyle w:val="Compact"/>
              <w:jc w:val="left"/>
            </w:pPr>
            <w:r>
              <w:rPr>
                <w:b/>
                <w:bCs/>
              </w:rPr>
              <w:t xml:space="preserve">Beschreibung</w:t>
            </w:r>
          </w:p>
        </w:tc>
      </w:tr>
      <w:tr>
        <w:tc>
          <w:tcPr/>
          <w:p>
            <w:pPr>
              <w:pStyle w:val="Compact"/>
              <w:jc w:val="left"/>
            </w:pPr>
            <w:r>
              <w:rPr>
                <w:b/>
                <w:bCs/>
              </w:rPr>
              <w:t xml:space="preserve">Problemlösendes Aufbauen einer Struktur</w:t>
            </w:r>
          </w:p>
        </w:tc>
        <w:tc>
          <w:tcPr/>
          <w:p>
            <w:pPr>
              <w:pStyle w:val="Compact"/>
              <w:jc w:val="left"/>
            </w:pPr>
            <w:r>
              <w:t xml:space="preserve">Wenn das Lernen neuer Inhalte von lebendig empfundenen Problemen ausgeht, kann dadurch das Interesse der Schüler</w:t>
            </w:r>
            <w:r>
              <w:rPr>
                <w:i/>
                <w:iCs/>
              </w:rPr>
              <w:t xml:space="preserve">innen geweckt werden. Neue Inhalte werden problemlösend und fragend, entwickelnd gelernt. Gemeinsam mit den Schüler</w:t>
            </w:r>
            <w:r>
              <w:t xml:space="preserve">innen wird eine Struktur erarbeitet, indem bekannte und neue Elemente schrittweise zusammengefügt werden.</w:t>
            </w:r>
          </w:p>
        </w:tc>
      </w:tr>
      <w:tr>
        <w:tc>
          <w:tcPr/>
          <w:p>
            <w:pPr>
              <w:pStyle w:val="Compact"/>
              <w:jc w:val="left"/>
            </w:pPr>
            <w:r>
              <w:rPr>
                <w:b/>
                <w:bCs/>
              </w:rPr>
              <w:t xml:space="preserve">Durcharbeiten einer Struktur</w:t>
            </w:r>
          </w:p>
        </w:tc>
        <w:tc>
          <w:tcPr/>
          <w:p>
            <w:pPr>
              <w:pStyle w:val="Compact"/>
              <w:jc w:val="left"/>
            </w:pPr>
            <w:r>
              <w:t xml:space="preserve">Die neuen Inhalte werden in neue Zusammenhänge gebracht, um eine andere Sicht auf dieselbe Sache zu ermöglichen.</w:t>
            </w:r>
          </w:p>
        </w:tc>
      </w:tr>
      <w:tr>
        <w:tc>
          <w:tcPr/>
          <w:p>
            <w:pPr>
              <w:pStyle w:val="Compact"/>
              <w:jc w:val="left"/>
            </w:pPr>
            <w:r>
              <w:rPr>
                <w:b/>
                <w:bCs/>
              </w:rPr>
              <w:t xml:space="preserve">Üben und Wiederholen</w:t>
            </w:r>
          </w:p>
        </w:tc>
        <w:tc>
          <w:tcPr/>
          <w:p>
            <w:pPr>
              <w:pStyle w:val="Compact"/>
              <w:jc w:val="left"/>
            </w:pPr>
            <w:r>
              <w:t xml:space="preserve">Ziel ist Sicherheit. Üben ist ein zentraler Lernschritt, der oft vergessen wird. Dem Vergessen wird nur durch Üben entgegengesetzt.</w:t>
            </w:r>
          </w:p>
        </w:tc>
      </w:tr>
      <w:tr>
        <w:tc>
          <w:tcPr/>
          <w:p>
            <w:pPr>
              <w:pStyle w:val="Compact"/>
              <w:jc w:val="left"/>
            </w:pPr>
            <w:r>
              <w:rPr>
                <w:b/>
                <w:bCs/>
              </w:rPr>
              <w:t xml:space="preserve">Anwenden der Struktur in neuen Problemsituationen</w:t>
            </w:r>
          </w:p>
        </w:tc>
        <w:tc>
          <w:tcPr/>
          <w:p>
            <w:pPr>
              <w:pStyle w:val="Compact"/>
              <w:jc w:val="left"/>
            </w:pPr>
            <w:r>
              <w:t xml:space="preserve">Schüler*innen können die neu erworbenen Inhalte in neuen Situationen anwenden. Dadurch wird eine Verbindung zwischen Lernen und Leben hergestellt. Gesicherte Lerninhalte werden auf reale Lebenssituationen angewendet und geprüft.</w:t>
            </w:r>
          </w:p>
        </w:tc>
      </w:tr>
    </w:tbl>
    <w:p>
      <w:pPr>
        <w:pStyle w:val="BodyText"/>
      </w:pPr>
      <w:r>
        <w:t xml:space="preserve">PA: Als Einstieg in die Lernumgebung wird den Schüler</w:t>
      </w:r>
      <w:r>
        <w:rPr>
          <w:i/>
          <w:iCs/>
        </w:rPr>
        <w:t xml:space="preserve">innen eine anspruchsvolle alltagsbezogene Aufgabe gestellt. Inwieweit dies ein lebendig empfundenes Problem darstellt, ist sehr abhängig von den Interessen der Schüler</w:t>
      </w:r>
      <w:r>
        <w:t xml:space="preserve">innen. Je besser die Lehrperson ihre Schüler</w:t>
      </w:r>
      <w:r>
        <w:rPr>
          <w:i/>
          <w:iCs/>
        </w:rPr>
        <w:t xml:space="preserve">innen kennt, desto besser kann sie eine alltagsbezogene Aufgabe formulieren, welche möglichst viele Schüler</w:t>
      </w:r>
      <w:r>
        <w:t xml:space="preserve">innen anspricht.</w:t>
      </w:r>
    </w:p>
    <w:p>
      <w:pPr>
        <w:pStyle w:val="BodyText"/>
      </w:pPr>
      <w:r>
        <w:t xml:space="preserve">Bei dem Thema „Brüche kürzen und erweitern” werden die Inhalte problemlösend beziehungsweise fragend, entwickelnd vermittelt. Hier wird an bereits vorhandenen Strukturen angeknüpft. Das bekannte Wissen, über den Wert eines Bruches, kann mit dem neuen Wissen, dem Kürzen und Erweitern, zusammengefügt werden. Bei dem Thema „Verschieden Brüche, die alle denselben Wert haben” werden die neuen Inhalte nicht problemlösend beziehungsweise fragend, entwickelnd vermittelt, jedoch gemeinsam mit den Schüler*innen erarbeitet.</w:t>
      </w:r>
    </w:p>
    <w:p>
      <w:pPr>
        <w:pStyle w:val="BodyText"/>
      </w:pPr>
      <w:r>
        <w:t xml:space="preserve">D: Diese Lernumgebung ist aufbauend entwickelt. Alle erlernten Inhalte müssen im nächsten Thema angewendet werden. Dadurch werden die Inhalte in neue Zusammenhänge gebracht.</w:t>
      </w:r>
    </w:p>
    <w:p>
      <w:pPr>
        <w:pStyle w:val="BodyText"/>
      </w:pPr>
      <w:r>
        <w:t xml:space="preserve">U: Übung macht den Meister. Gerade in der Mathematik ist das Üben sehr wichtig. Die Lernumgebung bietet verschiedene Aufgabenstellungen. Diese sind keine definitiven Aufgaben. Je nach Klasse und Schüler*innen können weitere und verschieden Aufgaben bearbeitet werden.</w:t>
      </w:r>
    </w:p>
    <w:p>
      <w:pPr>
        <w:pStyle w:val="BodyText"/>
      </w:pPr>
      <w:r>
        <w:t xml:space="preserve">A: Nun kann das gelernte, in der zu Beginn der Lernumgebung gestellten Aufgabe, angewendet werden. Wie bereits im Lehrpersonenkommentar erwähnt, ist eine weitere Option mit den Schüler*innen Fermi-Fragen zu lösen.</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Rationale Zahlen</dc:title>
  <dc:creator>Richard Conrardy</dc:creator>
  <dc:language>de</dc:language>
  <cp:keywords/>
  <dcterms:created xsi:type="dcterms:W3CDTF">2024-10-21T09:05:56Z</dcterms:created>
  <dcterms:modified xsi:type="dcterms:W3CDTF">2024-10-21T09:05:56Z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zum Thema Brüche kürzen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Brüche kürzen und erweitern, sowie addieren und subtrahieren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