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44.png" ContentType="image/png"/>
  <Override PartName="/word/media/rId4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Mikroplanung Mathematik</w:t>
      </w:r>
    </w:p>
    <w:p>
      <w:pPr>
        <w:pStyle w:val="Subtitle"/>
      </w:pPr>
      <w:r>
        <w:t xml:space="preserve">Lernumgebungen entwickeln</w:t>
      </w:r>
    </w:p>
    <w:p>
      <w:pPr>
        <w:pStyle w:val="Author"/>
      </w:pPr>
      <w:r>
        <w:t xml:space="preserve">Richard Conrardy</w:t>
      </w:r>
    </w:p>
    <w:p>
      <w:pPr>
        <w:pStyle w:val="Date"/>
      </w:pPr>
      <w:r>
        <w:t xml:space="preserve">07.06.2024</w:t>
      </w:r>
    </w:p>
    <w:p>
      <w:pPr>
        <w:pStyle w:val="FirstParagraph"/>
      </w:pPr>
      <w:hyperlink r:id="rId20">
        <w:r>
          <w:rPr>
            <w:rStyle w:val="Hyperlink"/>
          </w:rPr>
          <w:t xml:space="preserve">Porta-Mathematik</w:t>
        </w:r>
      </w:hyperlink>
      <w:r>
        <w:t xml:space="preserve"> </w:t>
      </w:r>
      <w:hyperlink r:id="rId21">
        <w:r>
          <w:rPr>
            <w:rStyle w:val="Hyperlink"/>
          </w:rPr>
          <w:t xml:space="preserve">Materialraum</w:t>
        </w:r>
      </w:hyperlink>
    </w:p>
    <w:p>
      <w:pPr>
        <w:pStyle w:val="Heading1"/>
      </w:pPr>
      <w:r>
        <w:t xml:space="preserve">Blockkurs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Zielgruppe</w:t>
            </w:r>
          </w:p>
        </w:tc>
      </w:tr>
      <w:tr>
        <w:trPr>
          <w:cantSplit/>
        </w:trPr>
        <w:tc>
          <w:tcPr>
            <w:tcMar>
              <w:top w:w="108" w:type="dxa"/>
              <w:bottom w:w="108" w:type="dxa"/>
            </w:tcMar>
          </w:tcPr>
          <w:p>
            <w:pPr>
              <w:pStyle w:val="BodyText"/>
            </w:pPr>
            <w:pPr>
              <w:spacing w:before="16" w:after="16"/>
            </w:pPr>
            <w:r>
              <w:t xml:space="preserve">Dieser Kurs ist konzipiert für Studierende mit etwas Vorwissen im Bereich der Entwicklung einer Lernumgebung und dem Wunsch mit Kommilitonen dran zu arbeiten und dem Wunsch während der Entwicklung Feedback von Kommilitonen oder Dozierenden zu erhalten.</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Flipped Classroom (Blockkurs)</w:t>
            </w:r>
          </w:p>
        </w:tc>
      </w:tr>
      <w:tr>
        <w:trPr>
          <w:cantSplit/>
        </w:trPr>
        <w:tc>
          <w:tcPr>
            <w:tcMar>
              <w:top w:w="108" w:type="dxa"/>
              <w:bottom w:w="108" w:type="dxa"/>
            </w:tcMar>
          </w:tcPr>
          <w:p>
            <w:pPr>
              <w:pStyle w:val="BodyText"/>
            </w:pPr>
            <w:pPr>
              <w:spacing w:before="16"/>
            </w:pPr>
            <w:r>
              <w:t xml:space="preserve">Diese Lerngelegenheit ist mit Flipped Classroom Methode konzipiert.</w:t>
            </w:r>
          </w:p>
          <w:p>
            <w:pPr>
              <w:pStyle w:val="Compact"/>
              <w:numPr>
                <w:ilvl w:val="0"/>
                <w:numId w:val="1001"/>
              </w:numPr>
            </w:pPr>
            <w:r>
              <w:t xml:space="preserve">move most information-transmission teaching out of class</w:t>
            </w:r>
          </w:p>
          <w:p>
            <w:pPr>
              <w:pStyle w:val="Compact"/>
              <w:numPr>
                <w:ilvl w:val="0"/>
                <w:numId w:val="1001"/>
              </w:numPr>
            </w:pPr>
            <w:r>
              <w:t xml:space="preserve">use class time for learning activities that are active and social</w:t>
            </w:r>
            <w:r>
              <w:t xml:space="preserve"> </w:t>
            </w:r>
            <w:r>
              <w:t xml:space="preserve">and</w:t>
            </w:r>
          </w:p>
          <w:p>
            <w:pPr>
              <w:pStyle w:val="Compact"/>
              <w:numPr>
                <w:ilvl w:val="0"/>
                <w:numId w:val="1001"/>
              </w:numPr>
            </w:pPr>
            <w:r>
              <w:t xml:space="preserve">require students to complete pre- and/or post-class activities to</w:t>
            </w:r>
            <w:r>
              <w:t xml:space="preserve"> </w:t>
            </w:r>
            <w:r>
              <w:t xml:space="preserve">fully benefit from in-class work.</w:t>
            </w:r>
          </w:p>
          <w:p>
            <w:pPr>
              <w:pStyle w:val="BlockText"/>
            </w:pPr>
            <w:r>
              <w:t xml:space="preserve">(Abeysekera &amp; Dawson, 2015, S. 3)</w:t>
            </w:r>
          </w:p>
        </w:tc>
      </w:tr>
    </w:tbl>
    <w:p>
      <w:pPr>
        <w:pStyle w:val="Heading1"/>
      </w:pPr>
      <w:r>
        <w:t xml:space="preserve">SOL</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Zielgruppe</w:t>
            </w:r>
          </w:p>
        </w:tc>
      </w:tr>
      <w:tr>
        <w:trPr>
          <w:cantSplit/>
        </w:trPr>
        <w:tc>
          <w:tcPr>
            <w:tcMar>
              <w:top w:w="108" w:type="dxa"/>
              <w:bottom w:w="108" w:type="dxa"/>
            </w:tcMar>
          </w:tcPr>
          <w:p>
            <w:pPr>
              <w:pStyle w:val="BodyText"/>
            </w:pPr>
            <w:pPr>
              <w:spacing w:before="16"/>
            </w:pPr>
            <w:r>
              <w:t xml:space="preserve">Dieser Kurs ist konzipiert für Studierende mit</w:t>
            </w:r>
            <w:r>
              <w:t xml:space="preserve"> </w:t>
            </w:r>
            <w:r>
              <w:rPr>
                <w:i/>
                <w:iCs/>
              </w:rPr>
              <w:t xml:space="preserve">individuellen</w:t>
            </w:r>
            <w:r>
              <w:t xml:space="preserve"> </w:t>
            </w:r>
            <w:r>
              <w:t xml:space="preserve">Bedürfnissen, damit sie sich in einer Sprechstunde eine massgeschneiderte Unterstützung einer Fachperson abholen können.</w:t>
            </w:r>
          </w:p>
          <w:p>
            <w:pPr>
              <w:pStyle w:val="BodyText"/>
            </w:pPr>
            <w:pPr>
              <w:spacing w:after="16"/>
            </w:pPr>
            <w:r>
              <w:t xml:space="preserve">SOL eignet sich somit besonders gut für Personen mit viel Vorwissen und engem Terminkalender welche entweder kein Peerfeedback von Kommilitonen brauchen oder es sich selbst organisieren.</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tip.png" id="31"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Selbstorganisiertes Lernen (SOL-Kurs)</w:t>
            </w:r>
          </w:p>
        </w:tc>
      </w:tr>
      <w:tr>
        <w:trPr>
          <w:cantSplit/>
        </w:trPr>
        <w:tc>
          <w:tcPr>
            <w:tcMar>
              <w:top w:w="108" w:type="dxa"/>
              <w:bottom w:w="108" w:type="dxa"/>
            </w:tcMar>
          </w:tcPr>
          <w:p>
            <w:pPr>
              <w:pStyle w:val="BodyText"/>
            </w:pPr>
            <w:pPr>
              <w:spacing w:before="16"/>
            </w:pPr>
            <w:r>
              <w:t xml:space="preserve">Dies ist eine selbstorganisierte Lerngelegenheit. Das heisst, die</w:t>
            </w:r>
            <w:r>
              <w:t xml:space="preserve"> </w:t>
            </w:r>
            <w:r>
              <w:t xml:space="preserve">Studierenden</w:t>
            </w:r>
            <w:r>
              <w:t xml:space="preserve"> </w:t>
            </w:r>
            <w:r>
              <w:t xml:space="preserve">“steuern ihr Lernhandeln jedoch weitgehend selber, indem</w:t>
            </w:r>
            <w:r>
              <w:t xml:space="preserve"> </w:t>
            </w:r>
            <w:r>
              <w:t xml:space="preserve">sie selbständig Lernschritte definieren, ausführen, regulieren und</w:t>
            </w:r>
            <w:r>
              <w:t xml:space="preserve"> </w:t>
            </w:r>
            <w:r>
              <w:t xml:space="preserve">beurteilen.”</w:t>
            </w:r>
            <w:r>
              <w:t xml:space="preserve"> </w:t>
            </w:r>
            <w:r>
              <w:t xml:space="preserve">(Hilbe &amp; Herzog, 2011, S. 8)</w:t>
            </w:r>
          </w:p>
          <w:p>
            <w:pPr>
              <w:pStyle w:val="BodyText"/>
            </w:pPr>
            <w:r>
              <w:t xml:space="preserve">Dem Dozierenden</w:t>
            </w:r>
            <w:r>
              <w:t xml:space="preserve"> </w:t>
            </w:r>
            <w:r>
              <w:t xml:space="preserve">“kommt dabei die Aufgabe zu, geeignete Rahmenbedingungen</w:t>
            </w:r>
            <w:r>
              <w:t xml:space="preserve"> </w:t>
            </w:r>
            <w:r>
              <w:t xml:space="preserve">für das Gelingen des Lernprozesses zu schaffen, Lernstrategien zu</w:t>
            </w:r>
            <w:r>
              <w:t xml:space="preserve"> </w:t>
            </w:r>
            <w:r>
              <w:t xml:space="preserve">vermitteln und die Schülerinnen und Schüler bei Schwierigkeiten zu</w:t>
            </w:r>
            <w:r>
              <w:t xml:space="preserve"> </w:t>
            </w:r>
            <w:r>
              <w:t xml:space="preserve">unterstützen.”</w:t>
            </w:r>
            <w:r>
              <w:t xml:space="preserve"> </w:t>
            </w:r>
            <w:r>
              <w:t xml:space="preserve">(Hilbe &amp; Herzog, 2011, S. 8)</w:t>
            </w:r>
          </w:p>
          <w:p>
            <w:pPr>
              <w:pStyle w:val="BodyText"/>
            </w:pPr>
            <w:pPr>
              <w:spacing w:after="16"/>
            </w:pPr>
            <w:r>
              <w:t xml:space="preserve">Kurz bedeutet dies, dass Sie stets Hilfe abholen können, sei es</w:t>
            </w:r>
            <w:r>
              <w:t xml:space="preserve"> </w:t>
            </w:r>
            <w:r>
              <w:t xml:space="preserve">inhaltlich, organisatorisch oder anderer Art.</w:t>
            </w:r>
          </w:p>
        </w:tc>
      </w:tr>
    </w:tbl>
    <w:p>
      <w:pPr>
        <w:pStyle w:val="Heading1"/>
      </w:pPr>
      <w:r>
        <w:t xml:space="preserve">Präsenzkurs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Zielgruppe</w:t>
            </w:r>
          </w:p>
        </w:tc>
      </w:tr>
      <w:tr>
        <w:trPr>
          <w:cantSplit/>
        </w:trPr>
        <w:tc>
          <w:tcPr>
            <w:tcMar>
              <w:top w:w="108" w:type="dxa"/>
              <w:bottom w:w="108" w:type="dxa"/>
            </w:tcMar>
          </w:tcPr>
          <w:p>
            <w:pPr>
              <w:pStyle w:val="BodyText"/>
            </w:pPr>
            <w:pPr>
              <w:spacing w:before="16"/>
            </w:pPr>
            <w:r>
              <w:t xml:space="preserve">Dieser Kurs arbeitet mit ihnen gemeinsam die Schritte der Entwicklung einer Lernumgebung auf und eignet sich für Personen ohne Vorerfahrung mit dem Bedürfnis nach mehr Theoriewissen.</w:t>
            </w:r>
          </w:p>
          <w:p>
            <w:pPr>
              <w:pStyle w:val="BodyText"/>
            </w:pPr>
            <w:pPr>
              <w:spacing w:after="16"/>
            </w:pPr>
            <w:r>
              <w:t xml:space="preserve">Die Lernumgebung kann parallel in Hausarbeit erstellt werden.</w:t>
            </w:r>
          </w:p>
        </w:tc>
      </w:tr>
    </w:tbl>
    <w:tbl>
      <w:tblPr>
        <w:tblStyle w:val="Table"/>
        <w:tblW w:type="pct" w:w="5000"/>
        <w:tblLayout w:type="fixed"/>
        <w:tblLook w:firstRow="1" w:lastRow="0" w:firstColumn="0" w:lastColumn="0" w:noHBand="0" w:noVBand="0" w:val="0020"/>
      </w:tblPr>
      <w:tblGrid>
        <w:gridCol w:w="559"/>
        <w:gridCol w:w="1211"/>
        <w:gridCol w:w="3354"/>
        <w:gridCol w:w="2795"/>
      </w:tblGrid>
      <w:tr>
        <w:trPr>
          <w:tblHeader w:val="on"/>
        </w:trPr>
        <w:tc>
          <w:tcPr/>
          <w:p>
            <w:pPr>
              <w:pStyle w:val="Compact"/>
              <w:jc w:val="center"/>
            </w:pPr>
            <w:r>
              <w:t xml:space="preserve">Teil</w:t>
            </w:r>
          </w:p>
        </w:tc>
        <w:tc>
          <w:tcPr/>
          <w:p>
            <w:pPr>
              <w:pStyle w:val="Compact"/>
              <w:jc w:val="left"/>
            </w:pPr>
            <w:r>
              <w:t xml:space="preserve">Thema</w:t>
            </w:r>
          </w:p>
        </w:tc>
        <w:tc>
          <w:tcPr/>
          <w:p>
            <w:pPr>
              <w:pStyle w:val="Compact"/>
              <w:jc w:val="center"/>
            </w:pPr>
            <w:r>
              <w:t xml:space="preserve">Vorbereitung</w:t>
            </w:r>
          </w:p>
        </w:tc>
        <w:tc>
          <w:tcPr/>
          <w:p>
            <w:pPr>
              <w:pStyle w:val="Compact"/>
              <w:jc w:val="center"/>
            </w:pPr>
            <w:r>
              <w:t xml:space="preserve">Slides</w:t>
            </w:r>
          </w:p>
        </w:tc>
      </w:tr>
      <w:tr>
        <w:tc>
          <w:tcPr/>
          <w:p>
            <w:pPr>
              <w:pStyle w:val="Compact"/>
              <w:jc w:val="center"/>
            </w:pPr>
            <w:r>
              <w:t xml:space="preserve">1</w:t>
            </w:r>
          </w:p>
        </w:tc>
        <w:tc>
          <w:tcPr/>
          <w:p>
            <w:pPr>
              <w:pStyle w:val="Compact"/>
              <w:jc w:val="left"/>
            </w:pPr>
            <w:r>
              <w:t xml:space="preserve">Lernziele</w:t>
            </w:r>
          </w:p>
        </w:tc>
        <w:tc>
          <w:tcPr/>
          <w:p>
            <w:pPr>
              <w:pStyle w:val="Compact"/>
              <w:jc w:val="center"/>
            </w:pPr>
            <w:hyperlink r:id="rId34">
              <w:r>
                <w:rPr>
                  <w:rStyle w:val="Hyperlink"/>
                </w:rPr>
                <w:t xml:space="preserve">Lernmodul</w:t>
              </w:r>
            </w:hyperlink>
          </w:p>
        </w:tc>
        <w:tc>
          <w:tcPr/>
          <w:p>
            <w:pPr>
              <w:pStyle w:val="Compact"/>
              <w:jc w:val="center"/>
            </w:pPr>
            <w:hyperlink r:id="rId35">
              <w:r>
                <w:rPr>
                  <w:rStyle w:val="Hyperlink"/>
                </w:rPr>
                <w:t xml:space="preserve">Slides</w:t>
              </w:r>
            </w:hyperlink>
          </w:p>
        </w:tc>
      </w:tr>
      <w:tr>
        <w:tc>
          <w:tcPr/>
          <w:p>
            <w:pPr>
              <w:pStyle w:val="Compact"/>
              <w:jc w:val="center"/>
            </w:pPr>
            <w:r>
              <w:t xml:space="preserve">2</w:t>
            </w:r>
          </w:p>
        </w:tc>
        <w:tc>
          <w:tcPr/>
          <w:p>
            <w:pPr>
              <w:pStyle w:val="Compact"/>
              <w:jc w:val="left"/>
            </w:pPr>
            <w:r>
              <w:t xml:space="preserve">Vorwissen</w:t>
            </w:r>
          </w:p>
        </w:tc>
        <w:tc>
          <w:tcPr/>
          <w:p>
            <w:pPr>
              <w:pStyle w:val="Compact"/>
              <w:jc w:val="center"/>
            </w:pPr>
            <w:hyperlink r:id="rId34">
              <w:r>
                <w:rPr>
                  <w:rStyle w:val="Hyperlink"/>
                </w:rPr>
                <w:t xml:space="preserve">Lernmodul</w:t>
              </w:r>
            </w:hyperlink>
          </w:p>
        </w:tc>
        <w:tc>
          <w:tcPr/>
          <w:p>
            <w:pPr>
              <w:pStyle w:val="Compact"/>
              <w:jc w:val="center"/>
            </w:pPr>
            <w:hyperlink r:id="rId36">
              <w:r>
                <w:rPr>
                  <w:rStyle w:val="Hyperlink"/>
                </w:rPr>
                <w:t xml:space="preserve">Slides</w:t>
              </w:r>
            </w:hyperlink>
          </w:p>
        </w:tc>
      </w:tr>
      <w:tr>
        <w:tc>
          <w:tcPr/>
          <w:p>
            <w:pPr>
              <w:pStyle w:val="Compact"/>
              <w:jc w:val="center"/>
            </w:pPr>
            <w:r>
              <w:t xml:space="preserve">3</w:t>
            </w:r>
          </w:p>
        </w:tc>
        <w:tc>
          <w:tcPr/>
          <w:p>
            <w:pPr>
              <w:pStyle w:val="Compact"/>
              <w:jc w:val="left"/>
            </w:pPr>
            <w:r>
              <w:t xml:space="preserve">Stoffauswahl</w:t>
            </w:r>
          </w:p>
        </w:tc>
        <w:tc>
          <w:tcPr/>
          <w:p>
            <w:pPr>
              <w:pStyle w:val="Compact"/>
              <w:jc w:val="center"/>
            </w:pPr>
            <w:hyperlink r:id="rId34">
              <w:r>
                <w:rPr>
                  <w:rStyle w:val="Hyperlink"/>
                </w:rPr>
                <w:t xml:space="preserve">Lernmodul</w:t>
              </w:r>
            </w:hyperlink>
          </w:p>
        </w:tc>
        <w:tc>
          <w:tcPr/>
          <w:p>
            <w:pPr>
              <w:pStyle w:val="Compact"/>
              <w:jc w:val="center"/>
            </w:pPr>
            <w:hyperlink r:id="rId34">
              <w:r>
                <w:rPr>
                  <w:rStyle w:val="Hyperlink"/>
                </w:rPr>
                <w:t xml:space="preserve">Slides</w:t>
              </w:r>
            </w:hyperlink>
          </w:p>
        </w:tc>
      </w:tr>
      <w:tr>
        <w:tc>
          <w:tcPr/>
          <w:p>
            <w:pPr>
              <w:pStyle w:val="Compact"/>
              <w:jc w:val="center"/>
            </w:pPr>
            <w:r>
              <w:t xml:space="preserve">4</w:t>
            </w:r>
          </w:p>
        </w:tc>
        <w:tc>
          <w:tcPr/>
          <w:p>
            <w:pPr>
              <w:pStyle w:val="Compact"/>
              <w:jc w:val="left"/>
            </w:pPr>
            <w:r>
              <w:t xml:space="preserve">Sozialformen und Phasen</w:t>
            </w:r>
          </w:p>
        </w:tc>
        <w:tc>
          <w:tcPr/>
          <w:p>
            <w:pPr>
              <w:pStyle w:val="Compact"/>
              <w:jc w:val="center"/>
            </w:pPr>
            <w:hyperlink r:id="rId34">
              <w:r>
                <w:rPr>
                  <w:rStyle w:val="Hyperlink"/>
                </w:rPr>
                <w:t xml:space="preserve">Lernmodul</w:t>
              </w:r>
            </w:hyperlink>
          </w:p>
        </w:tc>
        <w:tc>
          <w:tcPr/>
          <w:p>
            <w:pPr>
              <w:pStyle w:val="Compact"/>
              <w:jc w:val="center"/>
            </w:pPr>
            <w:hyperlink r:id="rId34">
              <w:r>
                <w:rPr>
                  <w:rStyle w:val="Hyperlink"/>
                </w:rPr>
                <w:t xml:space="preserve">Slides</w:t>
              </w:r>
            </w:hyperlink>
          </w:p>
        </w:tc>
      </w:tr>
      <w:tr>
        <w:tc>
          <w:tcPr/>
          <w:p>
            <w:pPr>
              <w:pStyle w:val="Compact"/>
              <w:jc w:val="center"/>
            </w:pPr>
            <w:r>
              <w:t xml:space="preserve">5</w:t>
            </w:r>
          </w:p>
        </w:tc>
        <w:tc>
          <w:tcPr/>
          <w:p>
            <w:pPr>
              <w:pStyle w:val="Compact"/>
              <w:jc w:val="left"/>
            </w:pPr>
            <w:r>
              <w:t xml:space="preserve">Aufgaben</w:t>
            </w:r>
          </w:p>
        </w:tc>
        <w:tc>
          <w:tcPr/>
          <w:p>
            <w:pPr>
              <w:pStyle w:val="Compact"/>
            </w:pPr>
          </w:p>
        </w:tc>
        <w:tc>
          <w:tcPr/>
          <w:p>
            <w:pPr>
              <w:pStyle w:val="Compact"/>
              <w:jc w:val="center"/>
            </w:pPr>
            <w:hyperlink r:id="rId34">
              <w:r>
                <w:rPr>
                  <w:rStyle w:val="Hyperlink"/>
                </w:rPr>
                <w:t xml:space="preserve">Slides</w:t>
              </w:r>
            </w:hyperlink>
          </w:p>
        </w:tc>
      </w:tr>
      <w:tr>
        <w:tc>
          <w:tcPr/>
          <w:p>
            <w:pPr>
              <w:pStyle w:val="Compact"/>
              <w:jc w:val="center"/>
            </w:pPr>
            <w:r>
              <w:t xml:space="preserve">6</w:t>
            </w:r>
          </w:p>
        </w:tc>
        <w:tc>
          <w:tcPr/>
          <w:p>
            <w:pPr>
              <w:pStyle w:val="Compact"/>
              <w:jc w:val="left"/>
            </w:pPr>
            <w:r>
              <w:t xml:space="preserve">Überleitung</w:t>
            </w:r>
          </w:p>
        </w:tc>
        <w:tc>
          <w:tcPr/>
          <w:p>
            <w:pPr>
              <w:pStyle w:val="Compact"/>
            </w:pPr>
          </w:p>
        </w:tc>
        <w:tc>
          <w:tcPr/>
          <w:p>
            <w:pPr>
              <w:pStyle w:val="Compact"/>
              <w:jc w:val="center"/>
            </w:pPr>
            <w:hyperlink r:id="rId34">
              <w:r>
                <w:rPr>
                  <w:rStyle w:val="Hyperlink"/>
                </w:rPr>
                <w:t xml:space="preserve">Slides</w:t>
              </w:r>
            </w:hyperlink>
          </w:p>
        </w:tc>
      </w:tr>
    </w:tbl>
    <w:bookmarkStart w:id="60" w:name="workload"/>
    <w:p>
      <w:pPr>
        <w:pStyle w:val="Heading1"/>
      </w:pPr>
      <w:r>
        <w:t xml:space="preserve">Workload</w:t>
      </w:r>
    </w:p>
    <w:p>
      <w:pPr>
        <w:pStyle w:val="FirstParagraph"/>
      </w:pPr>
      <w:r>
        <w:t xml:space="preserve">Sie veröffentlichen eine Lernumgebung von 2 bis 4 Lektionen unter einer freien Lizenz (Vorschlag:</w:t>
      </w:r>
      <w:r>
        <w:t xml:space="preserve"> </w:t>
      </w:r>
      <w:hyperlink r:id="rId37">
        <w:r>
          <w:rPr>
            <w:rStyle w:val="Hyperlink"/>
          </w:rPr>
          <w:t xml:space="preserve">CC BY-SA 4.0</w:t>
        </w:r>
      </w:hyperlink>
      <w:r>
        <w:t xml:space="preserve">) und zitieren nach APA 7</w:t>
      </w:r>
      <w:r>
        <w:t xml:space="preserve"> </w:t>
      </w:r>
      <w:r>
        <w:t xml:space="preserve">(vgl. American Psychological Association, 2020)</w:t>
      </w:r>
      <w:r>
        <w:t xml:space="preserve">.</w:t>
      </w:r>
    </w:p>
    <w:p>
      <w:pPr>
        <w:pStyle w:val="BodyText"/>
      </w:pPr>
      <w:r>
        <w:t xml:space="preserve">Tragen Sie sich für bei der Themenauswahl in die</w:t>
      </w:r>
      <w:r>
        <w:t xml:space="preserve"> </w:t>
      </w:r>
      <w:hyperlink r:id="rId38">
        <w:r>
          <w:rPr>
            <w:rStyle w:val="Hyperlink"/>
          </w:rPr>
          <w:t xml:space="preserve">Themenliste</w:t>
        </w:r>
      </w:hyperlink>
      <w:r>
        <w:t xml:space="preserve"> </w:t>
      </w:r>
      <w:r>
        <w:t xml:space="preserve">ein.</w:t>
      </w:r>
    </w:p>
    <w:p>
      <w:pPr>
        <w:pStyle w:val="BodyText"/>
      </w:pPr>
      <w:r>
        <w:t xml:space="preserve">Erstellen und veröffentlichen Sie ihre Lernumgebung auf</w:t>
      </w:r>
      <w:r>
        <w:t xml:space="preserve"> </w:t>
      </w:r>
      <w:hyperlink r:id="rId39">
        <w:r>
          <w:rPr>
            <w:rStyle w:val="Hyperlink"/>
          </w:rPr>
          <w:t xml:space="preserve">Switchportolio</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tip.png" id="41"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Digileb Knowledge Base</w:t>
            </w:r>
          </w:p>
        </w:tc>
      </w:tr>
      <w:tr>
        <w:trPr>
          <w:cantSplit/>
        </w:trPr>
        <w:tc>
          <w:tcPr>
            <w:tcMar>
              <w:top w:w="108" w:type="dxa"/>
              <w:bottom w:w="108" w:type="dxa"/>
            </w:tcMar>
          </w:tcPr>
          <w:p>
            <w:pPr>
              <w:pStyle w:val="BodyText"/>
            </w:pPr>
            <w:pPr>
              <w:spacing w:before="16" w:after="16"/>
            </w:pPr>
            <w:r>
              <w:t xml:space="preserve">Das Digileb hat eine</w:t>
            </w:r>
            <w:r>
              <w:t xml:space="preserve"> </w:t>
            </w:r>
            <w:hyperlink r:id="rId42">
              <w:r>
                <w:rPr>
                  <w:rStyle w:val="Hyperlink"/>
                </w:rPr>
                <w:t xml:space="preserve">eine Einleitung zu Switchportfolio</w:t>
              </w:r>
            </w:hyperlink>
            <w:r>
              <w:t xml:space="preserve"> </w:t>
            </w:r>
            <w:r>
              <w:t xml:space="preserve">und zu</w:t>
            </w:r>
            <w:r>
              <w:t xml:space="preserve"> </w:t>
            </w:r>
            <w:hyperlink r:id="rId43">
              <w:r>
                <w:rPr>
                  <w:rStyle w:val="Hyperlink"/>
                </w:rPr>
                <w:t xml:space="preserve">Open Educational Resources</w:t>
              </w:r>
            </w:hyperlink>
            <w:r>
              <w:t xml:space="preserve"> </w:t>
            </w:r>
            <w:r>
              <w:t xml:space="preserve">verfasst.</w:t>
            </w:r>
          </w:p>
        </w:tc>
      </w:tr>
    </w:tbl>
    <w:p>
      <w:pPr>
        <w:pStyle w:val="BodyText"/>
      </w:pPr>
      <w:r>
        <w:t xml:space="preserve">Sie planen eine bis zwei Doppellektionen für eine niveaudurchmischte Klasse und geben folgende Materialien ab:</w:t>
      </w:r>
    </w:p>
    <w:p>
      <w:pPr>
        <w:pStyle w:val="Compact"/>
        <w:numPr>
          <w:ilvl w:val="0"/>
          <w:numId w:val="1002"/>
        </w:numPr>
      </w:pPr>
      <w:r>
        <w:t xml:space="preserve">Einführender Lehrpersonenkommentar inkl. zwei Vertiefungen (Motivation, Wirksamkeit, Lernphasen oder Wissenserwerb)</w:t>
      </w:r>
    </w:p>
    <w:p>
      <w:pPr>
        <w:pStyle w:val="Compact"/>
        <w:numPr>
          <w:ilvl w:val="0"/>
          <w:numId w:val="1002"/>
        </w:numPr>
      </w:pPr>
      <w:r>
        <w:t xml:space="preserve">Lernmaterialien, inkl Lektionsplanung</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warning.png" id="4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Warnung</w:t>
            </w:r>
          </w:p>
        </w:tc>
      </w:tr>
      <w:tr>
        <w:trPr>
          <w:cantSplit/>
        </w:trPr>
        <w:tc>
          <w:tcPr>
            <w:tcMar>
              <w:top w:w="108" w:type="dxa"/>
              <w:bottom w:w="108" w:type="dxa"/>
            </w:tcMar>
          </w:tcPr>
          <w:p>
            <w:pPr>
              <w:pStyle w:val="BodyText"/>
            </w:pPr>
            <w:pPr>
              <w:spacing w:before="16" w:after="16"/>
            </w:pPr>
            <w:r>
              <w:t xml:space="preserve">Die Lerngelegenheit kann abgeschlossen werden ohne Lehrpersonenkommentar und Vertiefung. Der Fokus liegt auf den Lernmaterialien und den dazugehörigen Methoden, Techniken und Medien. Die Auflistung ist als Hinweis für den Leistungsnachweis zu verstehen. Informieren Sie sich auf Bios über die offiziellen Kriterien und Inhalte.</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tip.png" id="48"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Schreibberatung</w:t>
            </w:r>
          </w:p>
        </w:tc>
      </w:tr>
      <w:tr>
        <w:trPr>
          <w:cantSplit/>
        </w:trPr>
        <w:tc>
          <w:tcPr>
            <w:tcMar>
              <w:top w:w="108" w:type="dxa"/>
              <w:bottom w:w="108" w:type="dxa"/>
            </w:tcMar>
          </w:tcPr>
          <w:p>
            <w:pPr>
              <w:pStyle w:val="BodyText"/>
            </w:pPr>
            <w:pPr>
              <w:spacing w:before="16" w:after="16"/>
            </w:pPr>
            <w:r>
              <w:t xml:space="preserve">Die Institut Sekundarstufe 1 bietet Ihnen eine Schreibberatung an. Falls Sie wissenschaftlichen Schreiben, inkl. korrektes zitieren noch nicht beherrschen, können Sie sich an</w:t>
            </w:r>
            <w:r>
              <w:t xml:space="preserve"> </w:t>
            </w:r>
            <w:r>
              <w:rPr>
                <w:b/>
                <w:bCs/>
              </w:rPr>
              <w:t xml:space="preserve">schreibberatung-is1@phbern.ch</w:t>
            </w:r>
            <w:r>
              <w:t xml:space="preserve"> </w:t>
            </w:r>
            <w:r>
              <w:t xml:space="preserve">wenden.</w:t>
            </w:r>
          </w:p>
        </w:tc>
      </w:tr>
    </w:tbl>
    <w:p>
      <w:pPr>
        <w:pStyle w:val="BodyText"/>
      </w:pPr>
      <w:r>
        <w:t xml:space="preserve">Sie begründen Ihre Planungen differenziert mathematikdidaktisch, lernpsychologisch und mit Bezügen zu den Querschnittsthemen.</w:t>
      </w:r>
    </w:p>
    <w:p>
      <w:pPr>
        <w:pStyle w:val="BodyText"/>
      </w:pPr>
      <w:r>
        <w:t xml:space="preserve">Folgende Beurteilungskriterien dienen Ihnen zur Orientierung:</w:t>
      </w:r>
    </w:p>
    <w:p>
      <w:pPr>
        <w:pStyle w:val="Compact"/>
        <w:numPr>
          <w:ilvl w:val="0"/>
          <w:numId w:val="1003"/>
        </w:numPr>
      </w:pPr>
      <w:r>
        <w:t xml:space="preserve">Die Lernumgebung enthält bedeutsame Inhalte, welche mit dem Lehrplan verbunden sind.</w:t>
      </w:r>
    </w:p>
    <w:p>
      <w:pPr>
        <w:pStyle w:val="Compact"/>
        <w:numPr>
          <w:ilvl w:val="0"/>
          <w:numId w:val="1003"/>
        </w:numPr>
      </w:pPr>
      <w:r>
        <w:t xml:space="preserve">Die Lernumgebung ist fachlich-inhaltlich korrekt.</w:t>
      </w:r>
    </w:p>
    <w:p>
      <w:pPr>
        <w:pStyle w:val="Compact"/>
        <w:numPr>
          <w:ilvl w:val="0"/>
          <w:numId w:val="1003"/>
        </w:numPr>
      </w:pPr>
      <w:r>
        <w:t xml:space="preserve">Die Lernumgebung ist zielgruppengerecht strukturiert.</w:t>
      </w:r>
      <w:r>
        <w:br/>
      </w:r>
    </w:p>
    <w:p>
      <w:pPr>
        <w:pStyle w:val="Compact"/>
        <w:numPr>
          <w:ilvl w:val="0"/>
          <w:numId w:val="1003"/>
        </w:numPr>
      </w:pPr>
      <w:r>
        <w:t xml:space="preserve">In der Lernumgebung sind die Lernerwartungen zielgruppengerecht formuliert.</w:t>
      </w:r>
    </w:p>
    <w:p>
      <w:pPr>
        <w:pStyle w:val="Compact"/>
        <w:numPr>
          <w:ilvl w:val="0"/>
          <w:numId w:val="1003"/>
        </w:numPr>
      </w:pPr>
      <w:r>
        <w:t xml:space="preserve">Der Lernprozess bei der Lernumgebung ist in sinnvolle Lernphasen gegliedert.</w:t>
      </w:r>
    </w:p>
    <w:p>
      <w:pPr>
        <w:pStyle w:val="Compact"/>
        <w:numPr>
          <w:ilvl w:val="0"/>
          <w:numId w:val="1003"/>
        </w:numPr>
      </w:pPr>
      <w:r>
        <w:t xml:space="preserve">Die Lernumgebung enthält analoge wie digitale, fachliche, überfachliche und fächerübergreifende Teile mit entsprechenden sprachsensiblen Aufgaben.</w:t>
      </w:r>
    </w:p>
    <w:p>
      <w:pPr>
        <w:pStyle w:val="Compact"/>
        <w:numPr>
          <w:ilvl w:val="0"/>
          <w:numId w:val="1003"/>
        </w:numPr>
      </w:pPr>
      <w:r>
        <w:t xml:space="preserve">Die Lernumgebung fördert partizipatives und individualisiertes Lernen.</w:t>
      </w:r>
    </w:p>
    <w:p>
      <w:pPr>
        <w:pStyle w:val="Compact"/>
        <w:numPr>
          <w:ilvl w:val="0"/>
          <w:numId w:val="1003"/>
        </w:numPr>
      </w:pPr>
      <w:r>
        <w:t xml:space="preserve">In der Lernumgebung werden Sozialformen, Methoden, Medien und Materialien lernfördernd und abwechslungsreich eingesetzt.</w:t>
      </w:r>
    </w:p>
    <w:p>
      <w:pPr>
        <w:pStyle w:val="Compact"/>
        <w:numPr>
          <w:ilvl w:val="0"/>
          <w:numId w:val="1003"/>
        </w:numPr>
      </w:pPr>
      <w:r>
        <w:t xml:space="preserve">Die Lernumgebung und zusätzlichen Erklärungen zeigen wie Lernprozesse fachwissenschaftlich, fachdidaktisch, allgemeindidaktisch, mediendidaktisch und lernpsychologisch gestaltet und begründet sind.</w:t>
      </w:r>
    </w:p>
    <w:bookmarkStart w:id="59" w:name="konventionen"/>
    <w:p>
      <w:pPr>
        <w:pStyle w:val="Heading2"/>
      </w:pPr>
      <w:r>
        <w:t xml:space="preserve">Konventionen</w:t>
      </w:r>
    </w:p>
    <w:p>
      <w:pPr>
        <w:pStyle w:val="FirstParagraph"/>
      </w:pPr>
      <w:r>
        <w:t xml:space="preserve">Grundsätzlich werden Notationen und Symbole nach ISO 80000-2:2009 übernommen. Dezimalzahlen werden mit Komma (</w:t>
      </w:r>
      <w:r>
        <w:t xml:space="preserve">“4,32”</w:t>
      </w:r>
      <w:r>
        <w:t xml:space="preserve">) geschrieben. Koordinaten werden mit Strichpunkt (</w:t>
      </w:r>
      <w:r>
        <w:t xml:space="preserve">“4,1;2,7”</w:t>
      </w:r>
      <w:r>
        <w:t xml:space="preserve">) getrennt. Das Geteiltzeichen ist ein Querstrich (</w:t>
      </w:r>
      <w:r>
        <w:t xml:space="preserve">“1/2”</w:t>
      </w:r>
      <w:r>
        <w:t xml:space="preserve">) oder Bruchstrich (</w:t>
      </w:r>
      <w:r>
        <w:t xml:space="preserve">“</w:t>
      </w:r>
      <m:oMath>
        <m:f>
          <m:fPr>
            <m:type m:val="bar"/>
          </m:fPr>
          <m:num>
            <m:r>
              <m:t>1</m:t>
            </m:r>
          </m:num>
          <m:den>
            <m:r>
              <m:t>2</m:t>
            </m:r>
          </m:den>
        </m:f>
      </m:oMath>
      <w:r>
        <w:t xml:space="preserve">”</w:t>
      </w:r>
      <w:r>
        <w:t xml:space="preserve">). Der Doppelpunkt bezeichnet ein Verhältnis (</w:t>
      </w:r>
      <w:r>
        <w:t xml:space="preserve">“4:3:2”</w:t>
      </w:r>
      <w:r>
        <w:t xml:space="preserve">). Das Multiplikationszeichen (falls vorhanden) ist ein Punkt (</w:t>
      </w:r>
      <w:r>
        <w:t xml:space="preserve">“</w:t>
      </w:r>
      <m:oMath>
        <m:r>
          <m:t>3</m:t>
        </m:r>
        <m:r>
          <m:rPr>
            <m:sty m:val="p"/>
          </m:rPr>
          <m:t>⋅</m:t>
        </m:r>
        <m:r>
          <m:t>2</m:t>
        </m:r>
      </m:oMath>
      <w:r>
        <w:t xml:space="preserve">”</w:t>
      </w:r>
      <w:r>
        <w:t xml:space="preserve">). Geogebrabefehle und Tabellenkalkulationsprogrammbefehle sind auf Englisch.</w:t>
      </w:r>
    </w:p>
    <w:p>
      <w:pPr>
        <w:pStyle w:val="BodyText"/>
      </w:pPr>
      <w:r>
        <w:t xml:space="preserve">Als Makroplanung orientieren wir uns an folgender Aufteilung:</w:t>
      </w:r>
    </w:p>
    <w:p>
      <w:pPr>
        <w:pStyle w:val="TableCaption"/>
      </w:pPr>
      <w:r>
        <w:t xml:space="preserve">Übersicht des Jahresablaufes</w:t>
      </w:r>
    </w:p>
    <w:tbl>
      <w:tblPr>
        <w:tblStyle w:val="Table"/>
        <w:tblW w:type="pct" w:w="4845"/>
        <w:tblLayout w:type="fixed"/>
        <w:tblLook w:firstRow="1" w:lastRow="0" w:firstColumn="0" w:lastColumn="0" w:noHBand="0" w:noVBand="0" w:val="0020"/>
        <w:tblCaption w:val="Übersicht des Jahresablaufes"/>
      </w:tblPr>
      <w:tblGrid>
        <w:gridCol w:w="656"/>
        <w:gridCol w:w="1354"/>
        <w:gridCol w:w="1025"/>
        <w:gridCol w:w="1190"/>
        <w:gridCol w:w="820"/>
        <w:gridCol w:w="574"/>
        <w:gridCol w:w="902"/>
        <w:gridCol w:w="1149"/>
      </w:tblGrid>
      <w:tr>
        <w:trPr>
          <w:tblHeader w:val="on"/>
        </w:trPr>
        <w:tc>
          <w:tcPr/>
          <w:p>
            <w:pPr>
              <w:pStyle w:val="Compact"/>
            </w:pPr>
          </w:p>
        </w:tc>
        <w:tc>
          <w:tcPr/>
          <w:p>
            <w:pPr>
              <w:pStyle w:val="Compact"/>
            </w:pPr>
            <w:r>
              <w:t xml:space="preserve">Form</w:t>
            </w:r>
          </w:p>
        </w:tc>
        <w:tc>
          <w:tcPr/>
          <w:p>
            <w:pPr>
              <w:pStyle w:val="Compact"/>
            </w:pPr>
            <w:r>
              <w:t xml:space="preserve">Zahl</w:t>
            </w:r>
          </w:p>
        </w:tc>
        <w:tc>
          <w:tcPr/>
          <w:p>
            <w:pPr>
              <w:pStyle w:val="Compact"/>
            </w:pPr>
            <w:r>
              <w:t xml:space="preserve">Raum</w:t>
            </w:r>
          </w:p>
        </w:tc>
        <w:tc>
          <w:tcPr/>
          <w:p>
            <w:pPr>
              <w:pStyle w:val="Compact"/>
            </w:pPr>
            <w:r>
              <w:t xml:space="preserve">Variable</w:t>
            </w:r>
          </w:p>
        </w:tc>
        <w:tc>
          <w:tcPr/>
          <w:p>
            <w:pPr>
              <w:pStyle w:val="Compact"/>
            </w:pPr>
            <w:r>
              <w:t xml:space="preserve">Funktionen</w:t>
            </w:r>
          </w:p>
        </w:tc>
        <w:tc>
          <w:tcPr/>
          <w:p>
            <w:pPr>
              <w:pStyle w:val="Compact"/>
            </w:pPr>
            <w:r>
              <w:t xml:space="preserve">Daten und Zufall</w:t>
            </w:r>
          </w:p>
        </w:tc>
        <w:tc>
          <w:tcPr/>
          <w:p>
            <w:pPr>
              <w:pStyle w:val="Compact"/>
            </w:pPr>
            <w:r>
              <w:t xml:space="preserve">Erweiterung</w:t>
            </w:r>
          </w:p>
        </w:tc>
      </w:tr>
      <w:tr>
        <w:tc>
          <w:tcPr/>
          <w:p>
            <w:pPr>
              <w:pStyle w:val="Compact"/>
              <w:numPr>
                <w:ilvl w:val="0"/>
                <w:numId w:val="1004"/>
              </w:numPr>
            </w:pPr>
            <w:r>
              <w:t xml:space="preserve">Klasse HS</w:t>
            </w:r>
          </w:p>
        </w:tc>
        <w:tc>
          <w:tcPr/>
          <w:p>
            <w:pPr>
              <w:pStyle w:val="Compact"/>
            </w:pPr>
            <w:r>
              <w:t xml:space="preserve">Vierecke, Symmetrien</w:t>
            </w:r>
          </w:p>
        </w:tc>
        <w:tc>
          <w:tcPr/>
          <w:p>
            <w:pPr>
              <w:pStyle w:val="Compact"/>
            </w:pPr>
            <w:r>
              <w:t xml:space="preserve">Primzahlen, kgV, ggT,</w:t>
            </w:r>
          </w:p>
        </w:tc>
        <w:tc>
          <w:tcPr/>
          <w:p>
            <w:pPr>
              <w:pStyle w:val="Compact"/>
            </w:pPr>
            <w:r>
              <w:t xml:space="preserve">Koordinatensystem,</w:t>
            </w:r>
          </w:p>
        </w:tc>
        <w:tc>
          <w:tcPr/>
          <w:p>
            <w:pPr>
              <w:pStyle w:val="Compact"/>
            </w:pPr>
            <w:r>
              <w:t xml:space="preserve">Variablen,</w:t>
            </w:r>
          </w:p>
        </w:tc>
        <w:tc>
          <w:tcPr/>
          <w:p>
            <w:pPr>
              <w:pStyle w:val="Compact"/>
            </w:pPr>
            <w:r>
              <w:t xml:space="preserve">Gleichungen</w:t>
            </w:r>
          </w:p>
        </w:tc>
        <w:tc>
          <w:tcPr/>
          <w:p>
            <w:pPr>
              <w:pStyle w:val="Compact"/>
            </w:pPr>
            <w:r>
              <w:t xml:space="preserve">Diagramme, Prozente</w:t>
            </w:r>
          </w:p>
        </w:tc>
        <w:tc>
          <w:tcPr/>
          <w:p>
            <w:pPr>
              <w:pStyle w:val="Compact"/>
            </w:pPr>
            <w:r>
              <w:t xml:space="preserve">Potenzen</w:t>
            </w:r>
          </w:p>
        </w:tc>
      </w:tr>
      <w:tr>
        <w:tc>
          <w:tcPr/>
          <w:p>
            <w:pPr>
              <w:pStyle w:val="Compact"/>
              <w:numPr>
                <w:ilvl w:val="0"/>
                <w:numId w:val="1005"/>
              </w:numPr>
            </w:pPr>
            <w:r>
              <w:t xml:space="preserve">Klasse FS</w:t>
            </w:r>
          </w:p>
        </w:tc>
        <w:tc>
          <w:tcPr/>
          <w:p>
            <w:pPr>
              <w:pStyle w:val="Compact"/>
            </w:pPr>
            <w:r>
              <w:t xml:space="preserve">Dreiecke, Kongruenzabbildungen</w:t>
            </w:r>
          </w:p>
        </w:tc>
        <w:tc>
          <w:tcPr/>
          <w:p>
            <w:pPr>
              <w:pStyle w:val="Compact"/>
            </w:pPr>
            <w:r>
              <w:t xml:space="preserve">ganze Zahlen, Potenzen</w:t>
            </w:r>
          </w:p>
        </w:tc>
        <w:tc>
          <w:tcPr/>
          <w:p>
            <w:pPr>
              <w:pStyle w:val="Compact"/>
            </w:pPr>
            <w:r>
              <w:t xml:space="preserve">Volumen, Oberfläche, Kreis</w:t>
            </w:r>
          </w:p>
        </w:tc>
        <w:tc>
          <w:tcPr/>
          <w:p>
            <w:pPr>
              <w:pStyle w:val="Compact"/>
            </w:pPr>
            <w:r>
              <w:t xml:space="preserve">Termumformung</w:t>
            </w:r>
          </w:p>
        </w:tc>
        <w:tc>
          <w:tcPr/>
          <w:p>
            <w:pPr>
              <w:pStyle w:val="Compact"/>
            </w:pPr>
            <w:r>
              <w:t xml:space="preserve">Gleichungen</w:t>
            </w:r>
          </w:p>
        </w:tc>
        <w:tc>
          <w:tcPr/>
          <w:p>
            <w:pPr>
              <w:pStyle w:val="Compact"/>
            </w:pPr>
            <w:r>
              <w:t xml:space="preserve">Ereignisse, Prozent</w:t>
            </w:r>
          </w:p>
        </w:tc>
        <w:tc>
          <w:tcPr/>
          <w:p>
            <w:pPr>
              <w:pStyle w:val="Compact"/>
            </w:pPr>
            <w:r>
              <w:t xml:space="preserve">Wurzeln, Proportionalität</w:t>
            </w:r>
          </w:p>
        </w:tc>
      </w:tr>
      <w:tr>
        <w:tc>
          <w:tcPr/>
          <w:p>
            <w:pPr>
              <w:pStyle w:val="Compact"/>
              <w:numPr>
                <w:ilvl w:val="0"/>
                <w:numId w:val="1006"/>
              </w:numPr>
            </w:pPr>
            <w:r>
              <w:t xml:space="preserve">Klasse HS</w:t>
            </w:r>
          </w:p>
        </w:tc>
        <w:tc>
          <w:tcPr/>
          <w:p>
            <w:pPr>
              <w:pStyle w:val="FirstParagraph"/>
            </w:pPr>
            <w:r>
              <w:t xml:space="preserve">Thales</w:t>
            </w:r>
          </w:p>
          <w:p>
            <w:pPr>
              <w:pStyle w:val="BodyText"/>
            </w:pPr>
            <w:r>
              <w:t xml:space="preserve">Pythagoras</w:t>
            </w:r>
          </w:p>
        </w:tc>
        <w:tc>
          <w:tcPr/>
          <w:p>
            <w:pPr>
              <w:pStyle w:val="Compact"/>
            </w:pPr>
            <w:r>
              <w:t xml:space="preserve">Rationale Zahlen</w:t>
            </w:r>
          </w:p>
        </w:tc>
        <w:tc>
          <w:tcPr/>
          <w:p>
            <w:pPr>
              <w:pStyle w:val="Compact"/>
            </w:pPr>
            <w:r>
              <w:t xml:space="preserve">Prismen,Kreissektoren</w:t>
            </w:r>
          </w:p>
        </w:tc>
        <w:tc>
          <w:tcPr/>
          <w:p>
            <w:pPr>
              <w:pStyle w:val="Compact"/>
            </w:pPr>
            <w:r>
              <w:t xml:space="preserve">Termumformung</w:t>
            </w:r>
          </w:p>
        </w:tc>
        <w:tc>
          <w:tcPr/>
          <w:p>
            <w:pPr>
              <w:pStyle w:val="Compact"/>
            </w:pPr>
            <w:r>
              <w:t xml:space="preserve">Gleichungen</w:t>
            </w:r>
          </w:p>
        </w:tc>
        <w:tc>
          <w:tcPr/>
          <w:p>
            <w:pPr>
              <w:pStyle w:val="Compact"/>
            </w:pPr>
            <w:r>
              <w:t xml:space="preserve">Kennwerte</w:t>
            </w:r>
          </w:p>
        </w:tc>
        <w:tc>
          <w:tcPr/>
          <w:p>
            <w:pPr>
              <w:pStyle w:val="Compact"/>
            </w:pPr>
            <w:r>
              <w:t xml:space="preserve">wiss. Schreib.</w:t>
            </w:r>
          </w:p>
        </w:tc>
      </w:tr>
      <w:tr>
        <w:tc>
          <w:tcPr/>
          <w:p>
            <w:pPr>
              <w:pStyle w:val="Compact"/>
              <w:numPr>
                <w:ilvl w:val="0"/>
                <w:numId w:val="1007"/>
              </w:numPr>
            </w:pPr>
            <w:r>
              <w:t xml:space="preserve">Klasse FS</w:t>
            </w:r>
          </w:p>
        </w:tc>
        <w:tc>
          <w:tcPr/>
          <w:p>
            <w:pPr>
              <w:pStyle w:val="Compact"/>
            </w:pPr>
            <w:r>
              <w:t xml:space="preserve">Pythagoras</w:t>
            </w:r>
          </w:p>
        </w:tc>
        <w:tc>
          <w:tcPr/>
          <w:p>
            <w:pPr>
              <w:pStyle w:val="Compact"/>
            </w:pPr>
            <w:r>
              <w:t xml:space="preserve">Potenzen</w:t>
            </w:r>
          </w:p>
        </w:tc>
        <w:tc>
          <w:tcPr/>
          <w:p>
            <w:pPr>
              <w:pStyle w:val="Compact"/>
            </w:pPr>
            <w:r>
              <w:t xml:space="preserve">Pyramiden</w:t>
            </w:r>
          </w:p>
        </w:tc>
        <w:tc>
          <w:tcPr/>
          <w:p>
            <w:pPr>
              <w:pStyle w:val="Compact"/>
            </w:pPr>
            <w:r>
              <w:t xml:space="preserve">Gleichungen</w:t>
            </w:r>
          </w:p>
        </w:tc>
        <w:tc>
          <w:tcPr/>
          <w:p>
            <w:pPr>
              <w:pStyle w:val="Compact"/>
            </w:pPr>
            <w:r>
              <w:t xml:space="preserve">Funktionen</w:t>
            </w:r>
          </w:p>
        </w:tc>
        <w:tc>
          <w:tcPr/>
          <w:p>
            <w:pPr>
              <w:pStyle w:val="Compact"/>
            </w:pPr>
            <w:r>
              <w:t xml:space="preserve">Mehrstuf. Exp.</w:t>
            </w:r>
          </w:p>
        </w:tc>
        <w:tc>
          <w:tcPr/>
          <w:p>
            <w:pPr>
              <w:pStyle w:val="Compact"/>
            </w:pPr>
            <w:r>
              <w:t xml:space="preserve">Textaufg.</w:t>
            </w:r>
          </w:p>
        </w:tc>
      </w:tr>
      <w:tr>
        <w:tc>
          <w:tcPr/>
          <w:p>
            <w:pPr>
              <w:pStyle w:val="Compact"/>
              <w:numPr>
                <w:ilvl w:val="0"/>
                <w:numId w:val="1008"/>
              </w:numPr>
            </w:pPr>
            <w:r>
              <w:t xml:space="preserve">Klasse HS</w:t>
            </w:r>
          </w:p>
        </w:tc>
        <w:tc>
          <w:tcPr/>
          <w:p>
            <w:pPr>
              <w:pStyle w:val="Compact"/>
            </w:pPr>
            <w:r>
              <w:t xml:space="preserve">Streckung, Strahlens.</w:t>
            </w:r>
          </w:p>
        </w:tc>
        <w:tc>
          <w:tcPr/>
          <w:p>
            <w:pPr>
              <w:pStyle w:val="Compact"/>
            </w:pPr>
            <w:r>
              <w:t xml:space="preserve">Termumf.</w:t>
            </w:r>
          </w:p>
        </w:tc>
        <w:tc>
          <w:tcPr/>
          <w:p>
            <w:pPr>
              <w:pStyle w:val="Compact"/>
            </w:pPr>
            <w:r>
              <w:t xml:space="preserve">Körper</w:t>
            </w:r>
          </w:p>
        </w:tc>
        <w:tc>
          <w:tcPr/>
          <w:p>
            <w:pPr>
              <w:pStyle w:val="Compact"/>
            </w:pPr>
            <w:r>
              <w:t xml:space="preserve">Gleich.</w:t>
            </w:r>
          </w:p>
        </w:tc>
        <w:tc>
          <w:tcPr/>
          <w:p>
            <w:pPr>
              <w:pStyle w:val="Compact"/>
            </w:pPr>
            <w:r>
              <w:t xml:space="preserve">Lin. Funk.</w:t>
            </w:r>
          </w:p>
        </w:tc>
        <w:tc>
          <w:tcPr/>
          <w:p>
            <w:pPr>
              <w:pStyle w:val="Compact"/>
            </w:pPr>
            <w:r>
              <w:t xml:space="preserve">Komb., Zinsen</w:t>
            </w:r>
          </w:p>
        </w:tc>
        <w:tc>
          <w:tcPr/>
          <w:p>
            <w:pPr>
              <w:pStyle w:val="Compact"/>
            </w:pPr>
            <w:r>
              <w:t xml:space="preserve">Ungl.</w:t>
            </w:r>
          </w:p>
        </w:tc>
      </w:tr>
      <w:tr>
        <w:tc>
          <w:tcPr/>
          <w:p>
            <w:pPr>
              <w:pStyle w:val="Compact"/>
              <w:numPr>
                <w:ilvl w:val="0"/>
                <w:numId w:val="1009"/>
              </w:numPr>
            </w:pPr>
            <w:r>
              <w:t xml:space="preserve">Klasse FS</w:t>
            </w:r>
          </w:p>
        </w:tc>
        <w:tc>
          <w:tcPr/>
          <w:p>
            <w:pPr>
              <w:pStyle w:val="Compact"/>
            </w:pPr>
            <w:r>
              <w:t xml:space="preserve">Ähnlichkeit</w:t>
            </w:r>
          </w:p>
        </w:tc>
        <w:tc>
          <w:tcPr/>
          <w:p>
            <w:pPr>
              <w:pStyle w:val="Compact"/>
            </w:pPr>
            <w:r>
              <w:t xml:space="preserve">Termumf.</w:t>
            </w:r>
          </w:p>
        </w:tc>
        <w:tc>
          <w:tcPr/>
          <w:p>
            <w:pPr>
              <w:pStyle w:val="Compact"/>
            </w:pPr>
            <w:r>
              <w:t xml:space="preserve">Kegel, Kugel</w:t>
            </w:r>
          </w:p>
        </w:tc>
        <w:tc>
          <w:tcPr/>
          <w:p>
            <w:pPr>
              <w:pStyle w:val="Compact"/>
            </w:pPr>
            <w:r>
              <w:t xml:space="preserve">Gleichungssysteme</w:t>
            </w:r>
          </w:p>
        </w:tc>
        <w:tc>
          <w:tcPr/>
          <w:p>
            <w:pPr>
              <w:pStyle w:val="Compact"/>
            </w:pPr>
            <w:r>
              <w:t xml:space="preserve">Funkt.</w:t>
            </w:r>
          </w:p>
        </w:tc>
        <w:tc>
          <w:tcPr/>
          <w:p>
            <w:pPr>
              <w:pStyle w:val="Compact"/>
            </w:pPr>
            <w:r>
              <w:t xml:space="preserve">Komb</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Pro Jahr 39 (19+20) Schulwochen. Planung mit 36 (18+18) Wochen -&gt; Pro Feld 3 Wochen</w:t>
      </w:r>
    </w:p>
    <w:p>
      <w:pPr>
        <w:pStyle w:val="CaptionedFigure"/>
      </w:pPr>
      <w:r>
        <w:drawing>
          <wp:inline>
            <wp:extent cx="5334000" cy="3439128"/>
            <wp:effectExtent b="0" l="0" r="0" t="0"/>
            <wp:docPr descr="Lektionentafel" title="" id="50" name="Picture"/>
            <a:graphic>
              <a:graphicData uri="http://schemas.openxmlformats.org/drawingml/2006/picture">
                <pic:pic>
                  <pic:nvPicPr>
                    <pic:cNvPr descr="https://stammdaten.lehrplan.ch/pdf_inhalte/illustrationen/92/ahb_kapitel_4.1.4.jpg" id="51" name="Picture"/>
                    <pic:cNvPicPr>
                      <a:picLocks noChangeArrowheads="1" noChangeAspect="1"/>
                    </pic:cNvPicPr>
                  </pic:nvPicPr>
                  <pic:blipFill>
                    <a:blip r:embed="rId49"/>
                    <a:stretch>
                      <a:fillRect/>
                    </a:stretch>
                  </pic:blipFill>
                  <pic:spPr bwMode="auto">
                    <a:xfrm>
                      <a:off x="0" y="0"/>
                      <a:ext cx="5334000" cy="3439128"/>
                    </a:xfrm>
                    <a:prstGeom prst="rect">
                      <a:avLst/>
                    </a:prstGeom>
                    <a:noFill/>
                    <a:ln w="9525">
                      <a:noFill/>
                      <a:headEnd/>
                      <a:tailEnd/>
                    </a:ln>
                  </pic:spPr>
                </pic:pic>
              </a:graphicData>
            </a:graphic>
          </wp:inline>
        </w:drawing>
      </w:r>
    </w:p>
    <w:p>
      <w:pPr>
        <w:pStyle w:val="ImageCaption"/>
      </w:pPr>
      <w:r>
        <w:t xml:space="preserve">Lektionentafel</w:t>
      </w:r>
    </w:p>
    <w:bookmarkStart w:id="58" w:name="refs"/>
    <w:bookmarkStart w:id="53" w:name="ref-abeysekera_motivation_2015"/>
    <w:p>
      <w:pPr>
        <w:pStyle w:val="Bibliography"/>
      </w:pPr>
      <w:r>
        <w:t xml:space="preserve">Abeysekera, L., &amp; Dawson, P. (2015). Motivation and cognitive load in the flipped classroom: definition, rationale and a call for research.</w:t>
      </w:r>
      <w:r>
        <w:t xml:space="preserve"> </w:t>
      </w:r>
      <w:r>
        <w:rPr>
          <w:i/>
          <w:iCs/>
        </w:rPr>
        <w:t xml:space="preserve">Higher Education Research &amp; Development</w:t>
      </w:r>
      <w:r>
        <w:t xml:space="preserve">,</w:t>
      </w:r>
      <w:r>
        <w:t xml:space="preserve"> </w:t>
      </w:r>
      <w:r>
        <w:rPr>
          <w:i/>
          <w:iCs/>
        </w:rPr>
        <w:t xml:space="preserve">34</w:t>
      </w:r>
      <w:r>
        <w:t xml:space="preserve">(1), 1–14.</w:t>
      </w:r>
      <w:r>
        <w:t xml:space="preserve"> </w:t>
      </w:r>
      <w:hyperlink r:id="rId52">
        <w:r>
          <w:rPr>
            <w:rStyle w:val="Hyperlink"/>
          </w:rPr>
          <w:t xml:space="preserve">https://doi.org/10.1080/07294360.2014.934336</w:t>
        </w:r>
      </w:hyperlink>
    </w:p>
    <w:bookmarkEnd w:id="53"/>
    <w:bookmarkStart w:id="55" w:name="X180c2489814083a8e1483983cd40f0ca969c3a4"/>
    <w:p>
      <w:pPr>
        <w:pStyle w:val="Bibliography"/>
      </w:pPr>
      <w:r>
        <w:t xml:space="preserve">American Psychological Association. (2020).</w:t>
      </w:r>
      <w:r>
        <w:t xml:space="preserve"> </w:t>
      </w:r>
      <w:r>
        <w:rPr>
          <w:i/>
          <w:iCs/>
        </w:rPr>
        <w:t xml:space="preserve">Publication manual of the American psychological association</w:t>
      </w:r>
      <w:r>
        <w:t xml:space="preserve"> </w:t>
      </w:r>
      <w:r>
        <w:t xml:space="preserve">(7th ed.).</w:t>
      </w:r>
      <w:r>
        <w:t xml:space="preserve"> </w:t>
      </w:r>
      <w:hyperlink r:id="rId54">
        <w:r>
          <w:rPr>
            <w:rStyle w:val="Hyperlink"/>
          </w:rPr>
          <w:t xml:space="preserve">https://doi.org/10.1037/0000165-000</w:t>
        </w:r>
      </w:hyperlink>
    </w:p>
    <w:bookmarkEnd w:id="55"/>
    <w:bookmarkStart w:id="57" w:name="ref-hilbe_selbst_2011"/>
    <w:p>
      <w:pPr>
        <w:pStyle w:val="Bibliography"/>
      </w:pPr>
      <w:r>
        <w:t xml:space="preserve">Hilbe, R., &amp; Herzog, W. (2011).</w:t>
      </w:r>
      <w:r>
        <w:t xml:space="preserve"> </w:t>
      </w:r>
      <w:r>
        <w:rPr>
          <w:i/>
          <w:iCs/>
        </w:rPr>
        <w:t xml:space="preserve">Selbst organisiertes Lernen am Gymnasium Theoretische Konzepte und empirische Erkenntnisse</w:t>
      </w:r>
      <w:r>
        <w:t xml:space="preserve">. Mittelschul- und Berufsbildungsamt, Erziehungsdirektion des Kantons Bern.</w:t>
      </w:r>
      <w:r>
        <w:t xml:space="preserve"> </w:t>
      </w:r>
      <w:hyperlink r:id="rId56">
        <w:r>
          <w:rPr>
            <w:rStyle w:val="Hyperlink"/>
          </w:rPr>
          <w:t xml:space="preserve">https://www.bkd.be.ch/content/dam/bkd/dokumente/de/themen/bildung/mittelschulen/entwicklung-mittelschulen/ams-projekte-sol-bericht-deutsch.pdf</w:t>
        </w:r>
      </w:hyperlink>
    </w:p>
    <w:bookmarkEnd w:id="57"/>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44" Target="media/rId44.png" /><Relationship Type="http://schemas.openxmlformats.org/officeDocument/2006/relationships/image" Id="rId49" Target="media/rId49.jpg" /><Relationship Type="http://schemas.openxmlformats.org/officeDocument/2006/relationships/hyperlink" Id="rId34" Target="" TargetMode="External" /><Relationship Type="http://schemas.openxmlformats.org/officeDocument/2006/relationships/hyperlink" Id="rId35" Target="Slides_01.qmd" TargetMode="External" /><Relationship Type="http://schemas.openxmlformats.org/officeDocument/2006/relationships/hyperlink" Id="rId36" Target="Slides_02.qmd" TargetMode="External" /><Relationship Type="http://schemas.openxmlformats.org/officeDocument/2006/relationships/hyperlink" Id="rId37" Target="https://creativecommons.org/licenses/by-sa/4.0/" TargetMode="External" /><Relationship Type="http://schemas.openxmlformats.org/officeDocument/2006/relationships/hyperlink" Id="rId43" Target="https://digileb.phbern.ch/didaktisches-design/kollaboratives-lernen-und-arbeiten/oer-herstellen/" TargetMode="External" /><Relationship Type="http://schemas.openxmlformats.org/officeDocument/2006/relationships/hyperlink" Id="rId42" Target="https://digileb.phbern.ch/medien-gestalten-und-nutzen/medien-gestalten/switchportfolio-gestalten/" TargetMode="External" /><Relationship Type="http://schemas.openxmlformats.org/officeDocument/2006/relationships/hyperlink" Id="rId54" Target="https://doi.org/10.1037/0000165-000" TargetMode="External" /><Relationship Type="http://schemas.openxmlformats.org/officeDocument/2006/relationships/hyperlink" Id="rId52" Target="https://doi.org/10.1080/07294360.2014.934336" TargetMode="External" /><Relationship Type="http://schemas.openxmlformats.org/officeDocument/2006/relationships/hyperlink" Id="rId21" Target="https://ilias.phbern.ch/goto_phbern_grp_2127034.html" TargetMode="External" /><Relationship Type="http://schemas.openxmlformats.org/officeDocument/2006/relationships/hyperlink" Id="rId38" Target="https://phbern365.sharepoint.com/:x:/r/sites/IS1_Z_FachteamMathematik/_layouts/15/Doc2.aspx?action=edit&amp;sourcedoc=%7B6d7b7b77-e701-495c-a734-95aa8c684020%7D&amp;wdOrigin=TEAMS-MAGLEV.teamsSdk_ns.rwc&amp;wdExp=TEAMS-TREATMENT&amp;wdhostclicktime=1725374697781&amp;web=1&amp;CID=2f77316a-b428-4c26-ed85-c19100b5eb17" TargetMode="External" /><Relationship Type="http://schemas.openxmlformats.org/officeDocument/2006/relationships/hyperlink" Id="rId20" Target="https://porta.phbern.ch/content/page/61fbb3277513396a43d9373a" TargetMode="External" /><Relationship Type="http://schemas.openxmlformats.org/officeDocument/2006/relationships/hyperlink" Id="rId39" Target="https://portfolio.switch.ch/" TargetMode="External" /><Relationship Type="http://schemas.openxmlformats.org/officeDocument/2006/relationships/hyperlink" Id="rId56" Target="https://www.bkd.be.ch/content/dam/bkd/dokumente/de/themen/bildung/mittelschulen/entwicklung-mittelschulen/ams-projekte-sol-bericht-deutsch.pdf" TargetMode="External" /></Relationships>
</file>

<file path=word/_rels/footnotes.xml.rels><?xml version="1.0" encoding="UTF-8"?><Relationships xmlns="http://schemas.openxmlformats.org/package/2006/relationships"><Relationship Type="http://schemas.openxmlformats.org/officeDocument/2006/relationships/hyperlink" Id="rId34" Target="" TargetMode="External" /><Relationship Type="http://schemas.openxmlformats.org/officeDocument/2006/relationships/hyperlink" Id="rId35" Target="Slides_01.qmd" TargetMode="External" /><Relationship Type="http://schemas.openxmlformats.org/officeDocument/2006/relationships/hyperlink" Id="rId36" Target="Slides_02.qmd" TargetMode="External" /><Relationship Type="http://schemas.openxmlformats.org/officeDocument/2006/relationships/hyperlink" Id="rId37" Target="https://creativecommons.org/licenses/by-sa/4.0/" TargetMode="External" /><Relationship Type="http://schemas.openxmlformats.org/officeDocument/2006/relationships/hyperlink" Id="rId43" Target="https://digileb.phbern.ch/didaktisches-design/kollaboratives-lernen-und-arbeiten/oer-herstellen/" TargetMode="External" /><Relationship Type="http://schemas.openxmlformats.org/officeDocument/2006/relationships/hyperlink" Id="rId42" Target="https://digileb.phbern.ch/medien-gestalten-und-nutzen/medien-gestalten/switchportfolio-gestalten/" TargetMode="External" /><Relationship Type="http://schemas.openxmlformats.org/officeDocument/2006/relationships/hyperlink" Id="rId54" Target="https://doi.org/10.1037/0000165-000" TargetMode="External" /><Relationship Type="http://schemas.openxmlformats.org/officeDocument/2006/relationships/hyperlink" Id="rId52" Target="https://doi.org/10.1080/07294360.2014.934336" TargetMode="External" /><Relationship Type="http://schemas.openxmlformats.org/officeDocument/2006/relationships/hyperlink" Id="rId21" Target="https://ilias.phbern.ch/goto_phbern_grp_2127034.html" TargetMode="External" /><Relationship Type="http://schemas.openxmlformats.org/officeDocument/2006/relationships/hyperlink" Id="rId38" Target="https://phbern365.sharepoint.com/:x:/r/sites/IS1_Z_FachteamMathematik/_layouts/15/Doc2.aspx?action=edit&amp;sourcedoc=%7B6d7b7b77-e701-495c-a734-95aa8c684020%7D&amp;wdOrigin=TEAMS-MAGLEV.teamsSdk_ns.rwc&amp;wdExp=TEAMS-TREATMENT&amp;wdhostclicktime=1725374697781&amp;web=1&amp;CID=2f77316a-b428-4c26-ed85-c19100b5eb17" TargetMode="External" /><Relationship Type="http://schemas.openxmlformats.org/officeDocument/2006/relationships/hyperlink" Id="rId20" Target="https://porta.phbern.ch/content/page/61fbb3277513396a43d9373a" TargetMode="External" /><Relationship Type="http://schemas.openxmlformats.org/officeDocument/2006/relationships/hyperlink" Id="rId39" Target="https://portfolio.switch.ch/" TargetMode="External" /><Relationship Type="http://schemas.openxmlformats.org/officeDocument/2006/relationships/hyperlink" Id="rId56" Target="https://www.bkd.be.ch/content/dam/bkd/dokumente/de/themen/bildung/mittelschulen/entwicklung-mittelschulen/ams-projekte-sol-bericht-deutsch.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Mikroplanung Mathematik</dc:title>
  <dc:creator>Richard Conrardy</dc:creator>
  <dc:language>de</dc:language>
  <cp:keywords/>
  <dcterms:created xsi:type="dcterms:W3CDTF">2024-11-13T11:12:12Z</dcterms:created>
  <dcterms:modified xsi:type="dcterms:W3CDTF">2024-11-13T11:12:12Z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ategories">
    <vt:lpwstr/>
  </property>
  <property fmtid="{D5CDD505-2E9C-101B-9397-08002B2CF9AE}" pid="11" name="citation">
    <vt:lpwstr/>
  </property>
  <property fmtid="{D5CDD505-2E9C-101B-9397-08002B2CF9AE}" pid="12" name="csl">
    <vt:lpwstr>../../bibliographien/apa7.csl</vt:lpwstr>
  </property>
  <property fmtid="{D5CDD505-2E9C-101B-9397-08002B2CF9AE}" pid="13" name="date">
    <vt:lpwstr>07.06.2024</vt:lpwstr>
  </property>
  <property fmtid="{D5CDD505-2E9C-101B-9397-08002B2CF9AE}" pid="14" name="date-format">
    <vt:lpwstr>DD.MM.YYYY</vt:lpwstr>
  </property>
  <property fmtid="{D5CDD505-2E9C-101B-9397-08002B2CF9AE}" pid="15" name="draft">
    <vt:lpwstr>False</vt:lpwstr>
  </property>
  <property fmtid="{D5CDD505-2E9C-101B-9397-08002B2CF9AE}" pid="16" name="editor">
    <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mermaid">
    <vt:lpwstr/>
  </property>
  <property fmtid="{D5CDD505-2E9C-101B-9397-08002B2CF9AE}" pid="22" name="subtitle">
    <vt:lpwstr>Lernumgebungen entwickeln</vt:lpwstr>
  </property>
  <property fmtid="{D5CDD505-2E9C-101B-9397-08002B2CF9AE}" pid="23" name="theme">
    <vt:lpwstr/>
  </property>
  <property fmtid="{D5CDD505-2E9C-101B-9397-08002B2CF9AE}" pid="24" name="toc-title">
    <vt:lpwstr>Inhaltsverzeichnis</vt:lpwstr>
  </property>
</Properties>
</file>