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w:t>
      </w:r>
      <w:r>
        <w:t xml:space="preserve"> </w:t>
      </w:r>
      <w:r>
        <w:t xml:space="preserve">Conrardy</w:t>
      </w:r>
    </w:p>
    <w:bookmarkStart w:id="36" w:name="lernumgebung"/>
    <w:p>
      <w:pPr>
        <w:pStyle w:val="Heading1"/>
      </w:pPr>
      <w:r>
        <w:t xml:space="preserve">Lernumgebung</w:t>
      </w:r>
    </w:p>
    <w:bookmarkStart w:id="20" w:name="definition"/>
    <w:p>
      <w:pPr>
        <w:pStyle w:val="Heading2"/>
      </w:pPr>
      <w:r>
        <w:t xml:space="preserve">Definition</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w:t>
      </w:r>
      <w:r>
        <w:t xml:space="preserve">unterrichtsbestimmende Bauelemente</w:t>
      </w:r>
      <w:r>
        <w:t xml:space="preserve">”</w:t>
      </w:r>
      <w:r>
        <w:t xml:space="preserve"> </w:t>
      </w:r>
      <w:r>
        <w:t xml:space="preserve">(Wollring, 2008, S. 9)</w:t>
      </w:r>
      <w:r>
        <w:t xml:space="preserve"> </w:t>
      </w:r>
      <w:r>
        <w:t xml:space="preserve">aufgeteilt. Diese Aufteilung kann sich auf Phasenmodelle stützen (PADUA:</w:t>
      </w:r>
      <w:r>
        <w:t xml:space="preserve"> </w:t>
      </w:r>
      <w:r>
        <w:t xml:space="preserve">(Aebli, 1983)</w:t>
      </w:r>
      <w:r>
        <w:t xml:space="preserve">, AVIVA:</w:t>
      </w:r>
      <w:r>
        <w:t xml:space="preserve"> </w:t>
      </w:r>
      <w:r>
        <w:t xml:space="preserve">(Städeli &amp; Maurer, 2020)</w:t>
      </w:r>
      <w:r>
        <w:t xml:space="preserve">, KAFKA und SAMBA:</w:t>
      </w:r>
      <w:r>
        <w:t xml:space="preserve"> </w:t>
      </w:r>
      <w:r>
        <w:t xml:space="preserve">(Reusser 1999 nach Leuchter, 2009)</w:t>
      </w:r>
      <w:r>
        <w:t xml:space="preserve">). Eine andere Einteilung ist diejenige in</w:t>
      </w:r>
      <w:r>
        <w:t xml:space="preserve"> </w:t>
      </w:r>
      <w:r>
        <w:rPr>
          <w:iCs/>
          <w:i/>
        </w:rPr>
        <w:t xml:space="preserve">Lernumgebungen</w:t>
      </w:r>
      <w:r>
        <w:t xml:space="preserve"> </w:t>
      </w:r>
      <w:r>
        <w:t xml:space="preserve">oder</w:t>
      </w:r>
      <w:r>
        <w:t xml:space="preserve"> </w:t>
      </w:r>
      <w:r>
        <w:t xml:space="preserve">“</w:t>
      </w:r>
      <w:r>
        <w:t xml:space="preserve">Arbeitsumgebung</w:t>
      </w:r>
      <w:r>
        <w:t xml:space="preserve">”</w:t>
      </w:r>
      <w:r>
        <w:t xml:space="preserve"> </w:t>
      </w:r>
      <w:r>
        <w:t xml:space="preserve">(Wollring, 2008, S. 9)</w:t>
      </w:r>
      <w:r>
        <w:t xml:space="preserve">. Gewisse Autoren (/Dozierende) setzen diese gleich mit dem Begriff des</w:t>
      </w:r>
      <w:r>
        <w:t xml:space="preserve"> </w:t>
      </w:r>
      <w:r>
        <w:rPr>
          <w:iCs/>
          <w:i/>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w:t>
      </w:r>
      <w:r>
        <w:t xml:space="preserve"> </w:t>
      </w:r>
      <w:r>
        <w:t xml:space="preserve">Eine frühe Definition von</w:t>
      </w:r>
      <w:r>
        <w:t xml:space="preserve"> </w:t>
      </w:r>
      <w:r>
        <w:rPr>
          <w:iCs/>
          <w:i/>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Cs/>
          <w:i/>
        </w:rPr>
        <w:t xml:space="preserve">one size fits all</w:t>
      </w:r>
      <w:r>
        <w:t xml:space="preserve"> </w:t>
      </w:r>
      <w:r>
        <w:t xml:space="preserve">erstellt werden, sondern eigentlich die Realisierung eines spezifischen Unterrichts entsprechen.</w:t>
      </w:r>
      <w:r>
        <w:t xml:space="preserve"> </w:t>
      </w:r>
      <w:r>
        <w:t xml:space="preserve">Wollring (2008)</w:t>
      </w:r>
      <w:r>
        <w:t xml:space="preserve"> </w:t>
      </w:r>
      <w:r>
        <w:t xml:space="preserve">beschreibt dies explizit:</w:t>
      </w:r>
    </w:p>
    <w:p>
      <w:pPr>
        <w:pStyle w:val="BlockText"/>
      </w:pPr>
      <w:r>
        <w:t xml:space="preserve">“</w:t>
      </w: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w:t>
      </w:r>
    </w:p>
    <w:p>
      <w:pPr>
        <w:pStyle w:val="BlockText"/>
      </w:pPr>
      <w:r>
        <w:t xml:space="preserve">(Wollring, 2008, S. 4)</w:t>
      </w:r>
    </w:p>
    <w:p>
      <w:pPr>
        <w:pStyle w:val="FirstParagraph"/>
      </w:pPr>
      <w:r>
        <w:t xml:space="preserve">Eine für den Mathematikunterricht nützliche Sichtweise auf Lernumgebungen lautet, dass es sich um eine</w:t>
      </w:r>
      <w:r>
        <w:t xml:space="preserve"> </w:t>
      </w:r>
      <w:r>
        <w:t xml:space="preserve">“</w:t>
      </w:r>
      <w:r>
        <w:t xml:space="preserve">flexible grosse Aufgabe</w:t>
      </w:r>
      <w:r>
        <w:t xml:space="preserve">”</w:t>
      </w:r>
      <w:r>
        <w:t xml:space="preserve"> </w:t>
      </w:r>
      <w:r>
        <w:t xml:space="preserve">handelt. Diese wiederum besteht aus einem</w:t>
      </w:r>
      <w:r>
        <w:t xml:space="preserve"> </w:t>
      </w:r>
      <w:r>
        <w:t xml:space="preserve">“</w:t>
      </w:r>
      <w:r>
        <w:t xml:space="preserve">Netzwerk kleinerer Aufgaben</w:t>
      </w:r>
      <w:r>
        <w:t xml:space="preserve">”</w:t>
      </w:r>
      <w:r>
        <w:t xml:space="preserve"> </w:t>
      </w:r>
      <w:r>
        <w:t xml:space="preserve">(Wollring, 2008, S. 5)</w:t>
      </w:r>
      <w:r>
        <w:t xml:space="preserve">.</w:t>
      </w:r>
    </w:p>
    <w:bookmarkEnd w:id="20"/>
    <w:bookmarkStart w:id="21" w:name="vier-kernfragen"/>
    <w:p>
      <w:pPr>
        <w:pStyle w:val="Heading2"/>
      </w:pPr>
      <w:r>
        <w:t xml:space="preserve">Vier 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numPr>
          <w:ilvl w:val="0"/>
          <w:numId w:val="1001"/>
        </w:numPr>
        <w:pStyle w:val="Compact"/>
      </w:pPr>
      <w:r>
        <w:t xml:space="preserve">Lernziele,</w:t>
      </w:r>
      <w:r>
        <w:t xml:space="preserve"> </w:t>
      </w:r>
      <w:r>
        <w:t xml:space="preserve">“</w:t>
      </w:r>
      <w:r>
        <w:t xml:space="preserve">Was würde ich gerne meine Schüler erreichen lassen?</w:t>
      </w:r>
      <w:r>
        <w:t xml:space="preserve">”</w:t>
      </w:r>
    </w:p>
    <w:p>
      <w:pPr>
        <w:numPr>
          <w:ilvl w:val="0"/>
          <w:numId w:val="1001"/>
        </w:numPr>
        <w:pStyle w:val="Compact"/>
      </w:pPr>
      <w:r>
        <w:t xml:space="preserve">Anfangszustand,</w:t>
      </w:r>
      <w:r>
        <w:t xml:space="preserve"> </w:t>
      </w:r>
      <w:r>
        <w:t xml:space="preserve">“</w:t>
      </w:r>
      <w:r>
        <w:t xml:space="preserve">Wo können meine Schüler anfangen?</w:t>
      </w:r>
      <w:r>
        <w:t xml:space="preserve">”</w:t>
      </w:r>
    </w:p>
    <w:p>
      <w:pPr>
        <w:numPr>
          <w:ilvl w:val="0"/>
          <w:numId w:val="1001"/>
        </w:numPr>
        <w:pStyle w:val="Compact"/>
      </w:pPr>
      <w:r>
        <w:t xml:space="preserve">Unterrichtssituation,</w:t>
      </w:r>
      <w:r>
        <w:t xml:space="preserve"> </w:t>
      </w:r>
      <w:r>
        <w:t xml:space="preserve">“</w:t>
      </w:r>
      <w:r>
        <w:t xml:space="preserve">Wie kann ich Lerninhalte vermitteln und wie können meine Schüler sie lernen?</w:t>
      </w:r>
      <w:r>
        <w:t xml:space="preserve">”</w:t>
      </w:r>
    </w:p>
    <w:p>
      <w:pPr>
        <w:numPr>
          <w:ilvl w:val="0"/>
          <w:numId w:val="1001"/>
        </w:numPr>
        <w:pStyle w:val="Compact"/>
      </w:pPr>
      <w:r>
        <w:t xml:space="preserve">Auswertung,</w:t>
      </w:r>
      <w:r>
        <w:t xml:space="preserve"> </w:t>
      </w:r>
      <w:r>
        <w:t xml:space="preserve">“</w:t>
      </w:r>
      <w:r>
        <w:t xml:space="preserve">Wie ermittelt man den Lehrerfolg?</w:t>
      </w:r>
      <w:r>
        <w:t xml:space="preserve">”</w:t>
      </w:r>
    </w:p>
    <w:p>
      <w:pPr>
        <w:pStyle w:val="BlockText"/>
      </w:pPr>
      <w:r>
        <w:t xml:space="preserve">(Van Dormolen, 1978, S. 2–3)</w:t>
      </w:r>
    </w:p>
    <w:p>
      <w:pPr>
        <w:pStyle w:val="FirstParagraph"/>
      </w:pPr>
      <w:r>
        <w:t xml:space="preserve">Diese vier Leitfragen sind selbstverständlich voneinander abhängig. Es ist kaum möglich eine Frage vollständig zu beantworten, ehe die anderen Fragen nicht zumindest teilweise geklärt sind. In der Praxis fängt man häufig mit der Auswertung, bzw. Beurteilung an.</w:t>
      </w:r>
    </w:p>
    <w:bookmarkEnd w:id="21"/>
    <w:bookmarkStart w:id="22" w:name="leitideen"/>
    <w:p>
      <w:pPr>
        <w:pStyle w:val="Heading2"/>
      </w:pPr>
      <w:r>
        <w:t xml:space="preserve">Leitideen</w:t>
      </w:r>
    </w:p>
    <w:p>
      <w:pPr>
        <w:pStyle w:val="FirstParagraph"/>
      </w:pPr>
      <w:r>
        <w:t xml:space="preserve">Sind die vier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numPr>
          <w:ilvl w:val="0"/>
          <w:numId w:val="1002"/>
        </w:numPr>
        <w:pStyle w:val="Compact"/>
      </w:pPr>
      <w:r>
        <w:t xml:space="preserve">Gegenstand und Sinn, Fach-Sinn und Werk-Sinn</w:t>
      </w:r>
    </w:p>
    <w:p>
      <w:pPr>
        <w:numPr>
          <w:ilvl w:val="0"/>
          <w:numId w:val="1002"/>
        </w:numPr>
        <w:pStyle w:val="Compact"/>
      </w:pPr>
      <w:r>
        <w:t xml:space="preserve">Artikulation, Kommunikation, Soziale Organisation</w:t>
      </w:r>
    </w:p>
    <w:p>
      <w:pPr>
        <w:numPr>
          <w:ilvl w:val="0"/>
          <w:numId w:val="1002"/>
        </w:numPr>
        <w:pStyle w:val="Compact"/>
      </w:pPr>
      <w:r>
        <w:t xml:space="preserve">Differenzieren</w:t>
      </w:r>
    </w:p>
    <w:p>
      <w:pPr>
        <w:numPr>
          <w:ilvl w:val="0"/>
          <w:numId w:val="1002"/>
        </w:numPr>
        <w:pStyle w:val="Compact"/>
      </w:pPr>
      <w:r>
        <w:t xml:space="preserve">Logistik</w:t>
      </w:r>
    </w:p>
    <w:p>
      <w:pPr>
        <w:numPr>
          <w:ilvl w:val="0"/>
          <w:numId w:val="1002"/>
        </w:numPr>
        <w:pStyle w:val="Compact"/>
      </w:pPr>
      <w:r>
        <w:t xml:space="preserve">Evaluation</w:t>
      </w:r>
    </w:p>
    <w:p>
      <w:pPr>
        <w:numPr>
          <w:ilvl w:val="0"/>
          <w:numId w:val="1002"/>
        </w:numPr>
        <w:pStyle w:val="Compact"/>
      </w:pPr>
      <w:r>
        <w:t xml:space="preserve">Vernetzung mit anderen Lernumgebungen</w:t>
      </w:r>
    </w:p>
    <w:p>
      <w:pPr>
        <w:pStyle w:val="BlockText"/>
      </w:pPr>
      <w:r>
        <w:t xml:space="preserve">(Wollring, 2008, S. 5)</w:t>
      </w:r>
    </w:p>
    <w:p>
      <w:pPr>
        <w:pStyle w:val="FirstParagraph"/>
      </w:pPr>
      <w:r>
        <w:t xml:space="preserve">Man erkennt, dass</w:t>
      </w:r>
      <w:r>
        <w:t xml:space="preserve"> </w:t>
      </w:r>
      <w:r>
        <w:t xml:space="preserve">Wollring (2008)</w:t>
      </w:r>
      <w:r>
        <w:t xml:space="preserve"> </w:t>
      </w:r>
      <w:r>
        <w:t xml:space="preserve">einen breiteren Fokus legt als</w:t>
      </w:r>
      <w:r>
        <w:t xml:space="preserve"> </w:t>
      </w:r>
      <w:r>
        <w:t xml:space="preserve">Van Dormolen (1978)</w:t>
      </w:r>
      <w:r>
        <w:t xml:space="preserve">, dies kann damit zu tun haben, dass die Lernumgebung sich vor allem auf Mikroplanungsebene (bis zu 4 Lektionen) bezieht, der Unterrichtsarbeitsplan sich jedoch auf ein längeres Zeitintervall beziehen kann.</w:t>
      </w:r>
    </w:p>
    <w:bookmarkEnd w:id="22"/>
    <w:bookmarkStart w:id="35" w:name="offen-vs-geschlossen"/>
    <w:p>
      <w:pPr>
        <w:pStyle w:val="Heading2"/>
      </w:pPr>
      <w:r>
        <w:t xml:space="preserve">Offen vs geschlossen</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w:t>
      </w:r>
      <w:r>
        <w:t xml:space="preserve">technologische Position</w:t>
      </w:r>
      <w:r>
        <w:t xml:space="preserve">”</w:t>
      </w:r>
      <w:r>
        <w:t xml:space="preserve"> </w:t>
      </w:r>
      <w:r>
        <w:t xml:space="preserve">zusammengefasst.</w:t>
      </w:r>
    </w:p>
    <w:bookmarkStart w:id="34" w:name="leitfragen"/>
    <w:p>
      <w:pPr>
        <w:pStyle w:val="Heading3"/>
      </w:pPr>
      <w:r>
        <w:t xml:space="preserve">Leitfragen</w:t>
      </w:r>
    </w:p>
    <w:p>
      <w:pPr>
        <w:pStyle w:val="FirstParagraph"/>
      </w:pPr>
      <w:r>
        <w:t xml:space="preserve">Wie war ihr Unterricht gestaltet?</w:t>
      </w:r>
    </w:p>
    <w:p>
      <w:pPr>
        <w:pStyle w:val="BodyText"/>
      </w:pPr>
      <w:r>
        <w:t xml:space="preserve">Welche Position haben vermutlich? https://fginfo.ksbg.ch/dokuwiki/lib/exe/fetch.php?media=lehrkraefte:blc:math-2021hw:funktionen-sv.pdf</w:t>
      </w:r>
      <w:r>
        <w:t xml:space="preserve"> </w:t>
      </w:r>
      <w:r>
        <w:t xml:space="preserve">Welche Position haben die Autoren des Mathbuchs?</w:t>
      </w:r>
      <w:r>
        <w:t xml:space="preserve"> </w:t>
      </w:r>
      <w:r>
        <w:t xml:space="preserve">Welche Position haben die Autoren von Mathematik (LMVZ)?</w:t>
      </w:r>
    </w:p>
    <w:p>
      <w:r>
        <w:pict>
          <v:rect style="width:0;height:1.5pt" o:hralign="center" o:hrstd="t" o:hr="t"/>
        </w:pict>
      </w:r>
    </w:p>
    <w:p>
      <w:pPr>
        <w:pStyle w:val="FirstParagraph"/>
      </w:pPr>
      <w:r>
        <w:t xml:space="preserve">Learner centered, Knowledge centered, Assessment centered, community centered</w:t>
      </w:r>
      <w:r>
        <w:t xml:space="preserve"> </w:t>
      </w:r>
      <w:r>
        <w:t xml:space="preserve">(Reinmann &amp; Mandl, 2010, S. 618)</w:t>
      </w:r>
    </w:p>
    <w:bookmarkStart w:id="33" w:name="refs"/>
    <w:bookmarkStart w:id="23" w:name="ref-aebli_zwolf_1983"/>
    <w:p>
      <w:pPr>
        <w:pStyle w:val="Bibliography"/>
      </w:pPr>
      <w:r>
        <w:t xml:space="preserve">Aebli, H. (1983).</w:t>
      </w:r>
      <w:r>
        <w:t xml:space="preserve"> </w:t>
      </w:r>
      <w:r>
        <w:rPr>
          <w:iCs/>
          <w:i/>
        </w:rPr>
        <w:t xml:space="preserve">Zwölf Grundformen des Lehrens: eine allgemeine Didaktik auf psychologischer Grundlage: Medien und Inhalte didaktischer Kommunikation, der Lernzyklus</w:t>
      </w:r>
      <w:r>
        <w:t xml:space="preserve"> </w:t>
      </w:r>
      <w:r>
        <w:t xml:space="preserve">(15. Auflage). Klett-Cotta.</w:t>
      </w:r>
    </w:p>
    <w:bookmarkEnd w:id="23"/>
    <w:bookmarkStart w:id="24" w:name="ref-friedrich_analyse_1997"/>
    <w:p>
      <w:pPr>
        <w:pStyle w:val="Bibliography"/>
      </w:pPr>
      <w:r>
        <w:t xml:space="preserve">Friedrich, H., &amp; Mandl, H. (1997). Analyse und Förderung selbstgesteuerten Lernens. In</w:t>
      </w:r>
      <w:r>
        <w:t xml:space="preserve"> </w:t>
      </w:r>
      <w:r>
        <w:rPr>
          <w:iCs/>
          <w:i/>
        </w:rPr>
        <w:t xml:space="preserve">Lern- Und Denkstrategien</w:t>
      </w:r>
      <w:r>
        <w:t xml:space="preserve"> </w:t>
      </w:r>
      <w:r>
        <w:t xml:space="preserve">(S. 237–296).</w:t>
      </w:r>
    </w:p>
    <w:bookmarkEnd w:id="24"/>
    <w:bookmarkStart w:id="25" w:name="ref-leuchter_rolle_2009"/>
    <w:p>
      <w:pPr>
        <w:pStyle w:val="Bibliography"/>
      </w:pPr>
      <w:r>
        <w:t xml:space="preserve">Leuchter, M. (2009).</w:t>
      </w:r>
      <w:r>
        <w:t xml:space="preserve"> </w:t>
      </w:r>
      <w:r>
        <w:rPr>
          <w:iCs/>
          <w:i/>
        </w:rPr>
        <w:t xml:space="preserve">Die Rolle der Lehrperson bei der Aufgabenbearbeitung: unterrichtsbezogene Kognitionen von Lehrpersonen</w:t>
      </w:r>
      <w:r>
        <w:t xml:space="preserve">. Waxmann.</w:t>
      </w:r>
    </w:p>
    <w:bookmarkEnd w:id="25"/>
    <w:bookmarkStart w:id="26" w:name="ref-krapp_unterrichten_2010"/>
    <w:p>
      <w:pPr>
        <w:pStyle w:val="Bibliography"/>
      </w:pPr>
      <w:r>
        <w:t xml:space="preserve">Reinmann, G., &amp; Mandl, H. (2010). Unterrichten und Lernumgebungen gestalten. In A. Krapp &amp; B. Weidenmann (Hrsg.),</w:t>
      </w:r>
      <w:r>
        <w:t xml:space="preserve"> </w:t>
      </w:r>
      <w:r>
        <w:rPr>
          <w:iCs/>
          <w:i/>
        </w:rPr>
        <w:t xml:space="preserve">Pädagogische Psychologie: ein Lehrbuch</w:t>
      </w:r>
      <w:r>
        <w:t xml:space="preserve"> </w:t>
      </w:r>
      <w:r>
        <w:t xml:space="preserve">(5., vollst. überarb. Aufl., [Nachdr.]). Beltz</w:t>
      </w:r>
      <w:r>
        <w:t xml:space="preserve"> </w:t>
      </w:r>
      <w:r>
        <w:t xml:space="preserve">PVU</w:t>
      </w:r>
      <w:r>
        <w:t xml:space="preserve">.</w:t>
      </w:r>
    </w:p>
    <w:bookmarkEnd w:id="26"/>
    <w:bookmarkStart w:id="28" w:name="ref-stadeli_aviva_2020"/>
    <w:p>
      <w:pPr>
        <w:pStyle w:val="Bibliography"/>
      </w:pPr>
      <w:r>
        <w:t xml:space="preserve">Städeli, C., &amp; Maurer, M. (2020).</w:t>
      </w:r>
      <w:r>
        <w:t xml:space="preserve"> </w:t>
      </w:r>
      <w:r>
        <w:rPr>
          <w:iCs/>
          <w:i/>
        </w:rPr>
        <w:t xml:space="preserve">The</w:t>
      </w:r>
      <w:r>
        <w:rPr>
          <w:iCs/>
          <w:i/>
        </w:rPr>
        <w:t xml:space="preserve"> </w:t>
      </w:r>
      <w:r>
        <w:rPr>
          <w:iCs/>
          <w:i/>
        </w:rPr>
        <w:t xml:space="preserve">AVIVA</w:t>
      </w:r>
      <w:r>
        <w:rPr>
          <w:iCs/>
          <w:i/>
        </w:rPr>
        <w:t xml:space="preserve"> </w:t>
      </w:r>
      <w:r>
        <w:rPr>
          <w:iCs/>
          <w:i/>
        </w:rPr>
        <w:t xml:space="preserve">model A competence-oriented approach to teaching and learning</w:t>
      </w:r>
      <w:r>
        <w:t xml:space="preserve">.</w:t>
      </w:r>
      <w:r>
        <w:t xml:space="preserve"> </w:t>
      </w:r>
      <w:hyperlink r:id="rId27">
        <w:r>
          <w:rPr>
            <w:rStyle w:val="Hyperlink"/>
          </w:rPr>
          <w:t xml:space="preserve">https://www.hep-verlag.ch/the-aviva-model</w:t>
        </w:r>
      </w:hyperlink>
    </w:p>
    <w:bookmarkEnd w:id="28"/>
    <w:bookmarkStart w:id="30" w:name="ref-van_dormolen_didaktik_1978"/>
    <w:p>
      <w:pPr>
        <w:pStyle w:val="Bibliography"/>
      </w:pPr>
      <w:r>
        <w:t xml:space="preserve">Van Dormolen, J. (1978).</w:t>
      </w:r>
      <w:r>
        <w:t xml:space="preserve"> </w:t>
      </w:r>
      <w:r>
        <w:rPr>
          <w:iCs/>
          <w:i/>
        </w:rPr>
        <w:t xml:space="preserve">Didaktik der Mathematik</w:t>
      </w:r>
      <w:r>
        <w:t xml:space="preserve">. Vieweg+Teubner Verlag.</w:t>
      </w:r>
      <w:r>
        <w:t xml:space="preserve"> </w:t>
      </w:r>
      <w:hyperlink r:id="rId29">
        <w:r>
          <w:rPr>
            <w:rStyle w:val="Hyperlink"/>
          </w:rPr>
          <w:t xml:space="preserve">https://doi.org/10.1007/978-3-322-84149-0</w:t>
        </w:r>
      </w:hyperlink>
    </w:p>
    <w:bookmarkEnd w:id="30"/>
    <w:bookmarkStart w:id="32" w:name="ref-wollring_kennzeichnung_2008"/>
    <w:p>
      <w:pPr>
        <w:pStyle w:val="Bibliography"/>
      </w:pPr>
      <w:r>
        <w:t xml:space="preserve">Wollring, B. (2008). Kennzeichnung von Lernumgebungen für den Mathematikunterricht in der Grundschule. In</w:t>
      </w:r>
      <w:r>
        <w:t xml:space="preserve"> </w:t>
      </w:r>
      <w:r>
        <w:rPr>
          <w:iCs/>
          <w:i/>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31">
        <w:r>
          <w:rPr>
            <w:rStyle w:val="Hyperlink"/>
          </w:rPr>
          <w:t xml:space="preserve">https://www.schulentwicklung.nrw.de/sinus/upload/tagung20080424/2008_Wollring_Lernumgebungen.pdf</w:t>
        </w:r>
      </w:hyperlink>
    </w:p>
    <w:bookmarkEnd w:id="32"/>
    <w:bookmarkEnd w:id="33"/>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doi.org/10.1007/978-3-322-84149-0" TargetMode="External" /><Relationship Type="http://schemas.openxmlformats.org/officeDocument/2006/relationships/hyperlink" Id="rId27" Target="https://www.hep-verlag.ch/the-aviva-model" TargetMode="External" /><Relationship Type="http://schemas.openxmlformats.org/officeDocument/2006/relationships/hyperlink" Id="rId31"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07/978-3-322-84149-0" TargetMode="External" /><Relationship Type="http://schemas.openxmlformats.org/officeDocument/2006/relationships/hyperlink" Id="rId27" Target="https://www.hep-verlag.ch/the-aviva-model" TargetMode="External" /><Relationship Type="http://schemas.openxmlformats.org/officeDocument/2006/relationships/hyperlink" Id="rId31"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2024-06-29T14:23:09Z</dcterms:created>
  <dcterms:modified xsi:type="dcterms:W3CDTF">2024-06-29T14:23:09Z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