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werden sich der Grundhaltung förderorientierten Unterrichts bewusst.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kennen unterschiedliche Instrumente zur förderorientierten Diagnose.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lernen didaktische Settings für förderorientierten Unterricht kennen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gefällt Ihnen an diesem Modell?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schätzen Sie an diesem Modell als eher kritisch ein?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Inwiefern lässt sich dieses Modell auf der Sekundarstufe I umsetzen?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2024-10-28T06:31:04Z</dcterms:created>
  <dcterms:modified xsi:type="dcterms:W3CDTF">2024-10-28T06:31:04Z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