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w:t>
      </w:r>
      <w:r>
        <w:t xml:space="preserve"> </w:t>
      </w:r>
      <w:r>
        <w:t xml:space="preserve">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w:t>
      </w:r>
      <w:r>
        <w:t xml:space="preserve">unterrichtsbestimmende Bauelemente</w:t>
      </w:r>
      <w:r>
        <w:t xml:space="preserv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w:t>
            </w:r>
            <w:r>
              <w:t xml:space="preserve">Planungsarbeit im Fokus</w:t>
            </w:r>
            <w:r>
              <w:t xml:space="preserve">”</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w:t>
      </w:r>
      <w:r>
        <w:t xml:space="preserve">Arbeitsumgebung</w:t>
      </w:r>
      <w:r>
        <w:t xml:space="preserve">”</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w:t>
      </w: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w:t>
      </w:r>
      <w:r>
        <w:t xml:space="preserve">flexible grosse Aufgabe</w:t>
      </w:r>
      <w:r>
        <w:t xml:space="preserve">”</w:t>
      </w:r>
      <w:r>
        <w:t xml:space="preserve"> </w:t>
      </w:r>
      <w:r>
        <w:t xml:space="preserve">handelt. Diese wiederum besteht aus einem</w:t>
      </w:r>
      <w:r>
        <w:t xml:space="preserve"> </w:t>
      </w:r>
      <w:r>
        <w:t xml:space="preserve">“</w:t>
      </w:r>
      <w:r>
        <w:t xml:space="preserve">Netzwerk kleinerer Aufgaben</w:t>
      </w:r>
      <w:r>
        <w:t xml:space="preserve">”</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t>
      </w:r>
      <w:r>
        <w:t xml:space="preserve">Was würde ich gerne meine Schüler erreichen lassen?</w:t>
      </w:r>
      <w:r>
        <w:t xml:space="preserve">”</w:t>
      </w:r>
    </w:p>
    <w:p>
      <w:pPr>
        <w:pStyle w:val="Compact"/>
        <w:numPr>
          <w:ilvl w:val="0"/>
          <w:numId w:val="1002"/>
        </w:numPr>
      </w:pPr>
      <w:r>
        <w:t xml:space="preserve">Anfangszustand,</w:t>
      </w:r>
      <w:r>
        <w:t xml:space="preserve"> </w:t>
      </w:r>
      <w:r>
        <w:t xml:space="preserve">“</w:t>
      </w:r>
      <w:r>
        <w:t xml:space="preserve">Wo können meine Schüler anfangen?</w:t>
      </w:r>
      <w:r>
        <w:t xml:space="preserve">”</w:t>
      </w:r>
    </w:p>
    <w:p>
      <w:pPr>
        <w:pStyle w:val="Compact"/>
        <w:numPr>
          <w:ilvl w:val="0"/>
          <w:numId w:val="1002"/>
        </w:numPr>
      </w:pPr>
      <w:r>
        <w:t xml:space="preserve">Unterrichtssituation,</w:t>
      </w:r>
      <w:r>
        <w:t xml:space="preserve"> </w:t>
      </w:r>
      <w:r>
        <w:t xml:space="preserve">“</w:t>
      </w:r>
      <w:r>
        <w:t xml:space="preserve">Wie kann ich Lerninhalte vermitteln und wie können meine Schüler sie lernen?</w:t>
      </w:r>
      <w:r>
        <w:t xml:space="preserve">”</w:t>
      </w:r>
    </w:p>
    <w:p>
      <w:pPr>
        <w:pStyle w:val="Compact"/>
        <w:numPr>
          <w:ilvl w:val="0"/>
          <w:numId w:val="1002"/>
        </w:numPr>
      </w:pPr>
      <w:r>
        <w:t xml:space="preserve">Auswertung,</w:t>
      </w:r>
      <w:r>
        <w:t xml:space="preserve"> </w:t>
      </w:r>
      <w:r>
        <w:t xml:space="preserve">“</w:t>
      </w:r>
      <w:r>
        <w:t xml:space="preserve">Wie ermittelt man den Lehrerfolg?</w:t>
      </w:r>
      <w:r>
        <w:t xml:space="preserve">”</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w:t>
      </w:r>
      <w:r>
        <w:t xml:space="preserve">performances of understanding</w:t>
      </w:r>
      <w:r>
        <w:t xml:space="preserve">”</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w:t>
      </w:r>
      <w:r>
        <w:t xml:space="preserve">technologische Position</w:t>
      </w:r>
      <w:r>
        <w:t xml:space="preserve">”</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 Grundformen des Lehrens: eine allgemeine Didaktik auf psychologischer Grundlage: Medien und Inhalte didaktischer Kommunikation, der 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 Förderung selbstgesteuerten Lernens. In</w:t>
      </w:r>
      <w:r>
        <w:t xml:space="preserve"> </w:t>
      </w:r>
      <w:r>
        <w:rPr>
          <w:i/>
          <w:iCs/>
        </w:rPr>
        <w:t xml:space="preserve">Lern- Und 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 Rolle der Lehrperson bei der Aufgabenbearbeitung: unterrichtsbezogene Kognitionen von Lehrpersonen</w:t>
      </w:r>
      <w:r>
        <w:t xml:space="preserve">. Waxmann.</w:t>
      </w:r>
    </w:p>
    <w:bookmarkEnd w:id="37"/>
    <w:bookmarkStart w:id="38" w:name="ref-krapp_unterrichten_2010"/>
    <w:p>
      <w:pPr>
        <w:pStyle w:val="Bibliography"/>
      </w:pPr>
      <w:r>
        <w:t xml:space="preserve">Reinmann, G., &amp; Mandl, H. (2010). Unterrichten und Lernumgebungen gestalten. In A. Krapp &amp; B. Weidenmann (Hrsg.),</w:t>
      </w:r>
      <w:r>
        <w:t xml:space="preserve"> </w:t>
      </w:r>
      <w:r>
        <w:rPr>
          <w:i/>
          <w:iCs/>
        </w:rPr>
        <w:t xml:space="preserve">Pädagogische Psychologie: ein Lehrbuch</w:t>
      </w:r>
      <w:r>
        <w:t xml:space="preserve"> </w:t>
      </w:r>
      <w:r>
        <w:t xml:space="preserve">(5., vollst. überarb. Aufl., [Nachdr.]). Beltz</w:t>
      </w:r>
      <w:r>
        <w:t xml:space="preserve"> </w:t>
      </w:r>
      <w:r>
        <w:t xml:space="preserve">PVU</w:t>
      </w:r>
      <w:r>
        <w:t xml:space="preserve">.</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 A 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 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 Lernumgebungen für den Mathematikunterricht in der Grundschule. In</w:t>
      </w:r>
      <w:r>
        <w:t xml:space="preserve"> </w:t>
      </w:r>
      <w:r>
        <w:rPr>
          <w:i/>
          <w:iCs/>
        </w:rPr>
        <w:t xml:space="preserve">Lernumgebungen auf dem Prüfstand. Bericht 2 der Kasseler Forschergruppe Empirische Bildungsforschung Lehren – Lernen – 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2024-10-28T06:30:36Z</dcterms:created>
  <dcterms:modified xsi:type="dcterms:W3CDTF">2024-10-28T06:30:36Z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