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 der Beurteilung</w:t>
      </w:r>
    </w:p>
    <w:p>
      <w:pPr>
        <w:pStyle w:val="Author"/>
      </w:pPr>
      <w:r>
        <w:t xml:space="preserve">Richard 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 diesem Lernmodul geht es um «Förderorientierung» und «Förderorientierte Diagnostik».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2024-11-01T05:29:18Z</dcterms:created>
  <dcterms:modified xsi:type="dcterms:W3CDTF">2024-11-01T05:29:18Z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../bibliographien/apa7.csl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ce">
    <vt:lpwstr>CC BY ???</vt:lpwstr>
  </property>
  <property fmtid="{D5CDD505-2E9C-101B-9397-08002B2CF9AE}" pid="21" name="mermaid">
    <vt:lpwstr/>
  </property>
  <property fmtid="{D5CDD505-2E9C-101B-9397-08002B2CF9AE}" pid="22" name="subtitle">
    <vt:lpwstr>Grundlagen der Beurteilung</vt:lpwstr>
  </property>
  <property fmtid="{D5CDD505-2E9C-101B-9397-08002B2CF9AE}" pid="23" name="theme">
    <vt:lpwstr/>
  </property>
  <property fmtid="{D5CDD505-2E9C-101B-9397-08002B2CF9AE}" pid="24" name="toc-title">
    <vt:lpwstr>Inhaltsverzeichnis</vt:lpwstr>
  </property>
</Properties>
</file>