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w:t>
      </w:r>
      <w:r>
        <w:t xml:space="preserve"> </w:t>
      </w:r>
      <w:r>
        <w:t xml:space="preserve">Conrardy</w:t>
      </w:r>
    </w:p>
    <w:bookmarkStart w:id="30" w:name="lernumgebung"/>
    <w:p>
      <w:pPr>
        <w:pStyle w:val="Heading1"/>
      </w:pPr>
      <w:r>
        <w:t xml:space="preserve">Lernumgebung</w:t>
      </w:r>
    </w:p>
    <w:bookmarkStart w:id="21" w:name="definition"/>
    <w:p>
      <w:pPr>
        <w:pStyle w:val="Heading2"/>
      </w:pPr>
      <w:r>
        <w:t xml:space="preserve">Definition</w:t>
      </w:r>
    </w:p>
    <w:p>
      <w:pPr>
        <w:pStyle w:val="FirstParagraph"/>
      </w:pPr>
      <w:r>
        <w:t xml:space="preserve">Lernumgebungen, gelegentlich auch Lernarrangement genannt, sind</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bookmarkStart w:id="20" w:name="einschränkung"/>
    <w:p>
      <w:pPr>
        <w:pStyle w:val="Heading3"/>
      </w:pPr>
      <w:r>
        <w:t xml:space="preserve">Einschränkung</w:t>
      </w:r>
    </w:p>
    <w:p>
      <w:pPr>
        <w:pStyle w:val="BlockText"/>
      </w:pPr>
      <w:r>
        <w:t xml:space="preserve">“</w:t>
      </w: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w:t>
      </w:r>
    </w:p>
    <w:p>
      <w:pPr>
        <w:pStyle w:val="BlockText"/>
      </w:pPr>
      <w:r>
        <w:t xml:space="preserve">(Wollring, 2008, S. 4)</w:t>
      </w:r>
    </w:p>
    <w:bookmarkEnd w:id="20"/>
    <w:bookmarkEnd w:id="21"/>
    <w:bookmarkStart w:id="22" w:name="leitideen"/>
    <w:p>
      <w:pPr>
        <w:pStyle w:val="Heading2"/>
      </w:pPr>
      <w:r>
        <w:t xml:space="preserve">Leitideen</w:t>
      </w:r>
    </w:p>
    <w:p>
      <w:pPr>
        <w:numPr>
          <w:ilvl w:val="0"/>
          <w:numId w:val="1001"/>
        </w:numPr>
        <w:pStyle w:val="Compact"/>
      </w:pPr>
      <w:r>
        <w:t xml:space="preserve">Gegenstand und Sinn, Fach-Sinn und Werk-Sinn</w:t>
      </w:r>
    </w:p>
    <w:p>
      <w:pPr>
        <w:numPr>
          <w:ilvl w:val="0"/>
          <w:numId w:val="1001"/>
        </w:numPr>
        <w:pStyle w:val="Compact"/>
      </w:pPr>
      <w:r>
        <w:t xml:space="preserve">Artikulation, Kommunikation, Soziale Organisation</w:t>
      </w:r>
    </w:p>
    <w:p>
      <w:pPr>
        <w:numPr>
          <w:ilvl w:val="0"/>
          <w:numId w:val="1001"/>
        </w:numPr>
        <w:pStyle w:val="Compact"/>
      </w:pPr>
      <w:r>
        <w:t xml:space="preserve">Differenzieren</w:t>
      </w:r>
    </w:p>
    <w:p>
      <w:pPr>
        <w:numPr>
          <w:ilvl w:val="0"/>
          <w:numId w:val="1001"/>
        </w:numPr>
        <w:pStyle w:val="Compact"/>
      </w:pPr>
      <w:r>
        <w:t xml:space="preserve">Logistik</w:t>
      </w:r>
    </w:p>
    <w:p>
      <w:pPr>
        <w:numPr>
          <w:ilvl w:val="0"/>
          <w:numId w:val="1001"/>
        </w:numPr>
        <w:pStyle w:val="Compact"/>
      </w:pPr>
      <w:r>
        <w:t xml:space="preserve">Evaluation</w:t>
      </w:r>
    </w:p>
    <w:p>
      <w:pPr>
        <w:numPr>
          <w:ilvl w:val="0"/>
          <w:numId w:val="1001"/>
        </w:numPr>
        <w:pStyle w:val="Compact"/>
      </w:pPr>
      <w:r>
        <w:t xml:space="preserve">Vernetzung mit anderen Lernumgebungen</w:t>
      </w:r>
    </w:p>
    <w:p>
      <w:pPr>
        <w:pStyle w:val="BlockText"/>
      </w:pPr>
      <w:r>
        <w:t xml:space="preserve">(Wollring, 2008, S. 5)</w:t>
      </w:r>
    </w:p>
    <w:bookmarkEnd w:id="22"/>
    <w:bookmarkStart w:id="29" w:name="offen-vs-geschlossen"/>
    <w:p>
      <w:pPr>
        <w:pStyle w:val="Heading2"/>
      </w:pPr>
      <w:r>
        <w:t xml:space="preserve">Offen vs geschlossen</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w:t>
      </w:r>
      <w:r>
        <w:t xml:space="preserve">technologische Position</w:t>
      </w:r>
      <w:r>
        <w:t xml:space="preserve">”</w:t>
      </w:r>
      <w:r>
        <w:t xml:space="preserve"> </w:t>
      </w:r>
      <w:r>
        <w:t xml:space="preserve">zusammengefasst.</w:t>
      </w:r>
    </w:p>
    <w:bookmarkStart w:id="28" w:name="leitfragen"/>
    <w:p>
      <w:pPr>
        <w:pStyle w:val="Heading3"/>
      </w:pPr>
      <w:r>
        <w:t xml:space="preserve">Leitfragen</w:t>
      </w:r>
    </w:p>
    <w:p>
      <w:pPr>
        <w:pStyle w:val="FirstParagraph"/>
      </w:pPr>
      <w:r>
        <w:t xml:space="preserve">Wie war ihr Unterricht gestaltet?</w:t>
      </w:r>
    </w:p>
    <w:p>
      <w:pPr>
        <w:pStyle w:val="BodyText"/>
      </w:pPr>
      <w:r>
        <w:t xml:space="preserve">Welche Position haben vermutlich? https://fginfo.ksbg.ch/dokuwiki/lib/exe/fetch.php?media=lehrkraefte:blc:math-2021hw:funktionen-sv.pdf</w:t>
      </w:r>
      <w:r>
        <w:t xml:space="preserve"> </w:t>
      </w:r>
      <w:r>
        <w:t xml:space="preserve">Welche Position haben die Autoren des Mathbuchs?</w:t>
      </w:r>
      <w:r>
        <w:t xml:space="preserve"> </w:t>
      </w:r>
      <w:r>
        <w:t xml:space="preserve">Welche Position haben die Autoren von Mathematik (LMVZ)?</w:t>
      </w:r>
    </w:p>
    <w:p>
      <w:r>
        <w:pict>
          <v:rect style="width:0;height:1.5pt" o:hralign="center" o:hrstd="t" o:hr="t"/>
        </w:pict>
      </w:r>
    </w:p>
    <w:p>
      <w:pPr>
        <w:pStyle w:val="FirstParagraph"/>
      </w:pPr>
      <w:r>
        <w:t xml:space="preserve">Learner centered, Knowledge centered, Assessment centered, community centered</w:t>
      </w:r>
      <w:r>
        <w:t xml:space="preserve"> </w:t>
      </w:r>
      <w:r>
        <w:t xml:space="preserve">(Reinmann &amp; Mandl, 2010, S. 618)</w:t>
      </w:r>
    </w:p>
    <w:bookmarkStart w:id="27" w:name="refs"/>
    <w:bookmarkStart w:id="23" w:name="ref-friedrich_analyse_1997"/>
    <w:p>
      <w:pPr>
        <w:pStyle w:val="Bibliography"/>
      </w:pPr>
      <w:r>
        <w:t xml:space="preserve">Friedrich, H., &amp; Mandl, H. (1997). Analyse und Förderung selbstgesteuerten Lernens. In</w:t>
      </w:r>
      <w:r>
        <w:t xml:space="preserve"> </w:t>
      </w:r>
      <w:r>
        <w:rPr>
          <w:iCs/>
          <w:i/>
        </w:rPr>
        <w:t xml:space="preserve">Lern- Und Denkstrategien</w:t>
      </w:r>
      <w:r>
        <w:t xml:space="preserve"> </w:t>
      </w:r>
      <w:r>
        <w:t xml:space="preserve">(S. 237–296).</w:t>
      </w:r>
    </w:p>
    <w:bookmarkEnd w:id="23"/>
    <w:bookmarkStart w:id="24" w:name="ref-krapp_unterrichten_2010"/>
    <w:p>
      <w:pPr>
        <w:pStyle w:val="Bibliography"/>
      </w:pPr>
      <w:r>
        <w:t xml:space="preserve">Reinmann, G., &amp; Mandl, H. (2010). Unterrichten und Lernumgebungen gestalten. In A. Krapp &amp; B. Weidenmann (Hrsg.),</w:t>
      </w:r>
      <w:r>
        <w:t xml:space="preserve"> </w:t>
      </w:r>
      <w:r>
        <w:rPr>
          <w:iCs/>
          <w:i/>
        </w:rPr>
        <w:t xml:space="preserve">Pädagogische Psychologie: ein Lehrbuch</w:t>
      </w:r>
      <w:r>
        <w:t xml:space="preserve"> </w:t>
      </w:r>
      <w:r>
        <w:t xml:space="preserve">(5., vollst. überarb. Aufl., [Nachdr.]). Beltz</w:t>
      </w:r>
      <w:r>
        <w:t xml:space="preserve"> </w:t>
      </w:r>
      <w:r>
        <w:t xml:space="preserve">PVU</w:t>
      </w:r>
      <w:r>
        <w:t xml:space="preserve">.</w:t>
      </w:r>
    </w:p>
    <w:bookmarkEnd w:id="24"/>
    <w:bookmarkStart w:id="26" w:name="ref-wollring_kennzeichnung_2008"/>
    <w:p>
      <w:pPr>
        <w:pStyle w:val="Bibliography"/>
      </w:pPr>
      <w:r>
        <w:t xml:space="preserve">Wollring, B. (2008). Kennzeichnung von Lernumgebungen für den Mathematikunterricht in der Grundschule. In</w:t>
      </w:r>
      <w:r>
        <w:t xml:space="preserve"> </w:t>
      </w:r>
      <w:r>
        <w:rPr>
          <w:iCs/>
          <w:i/>
        </w:rPr>
        <w:t xml:space="preserve">Lernumgebungen auf dem Prüfstand. Bericht 2 der Kasseler Forschergruppe Empirische Bildungsforschung Lehren – Lernen – Literacy</w:t>
      </w:r>
      <w:r>
        <w:t xml:space="preserve"> </w:t>
      </w:r>
      <w:r>
        <w:t xml:space="preserve">(S. 9–26). Kasseler Forschergruppe.</w:t>
      </w:r>
      <w:r>
        <w:t xml:space="preserve"> </w:t>
      </w:r>
      <w:hyperlink r:id="rId25">
        <w:r>
          <w:rPr>
            <w:rStyle w:val="Hyperlink"/>
          </w:rPr>
          <w:t xml:space="preserve">https://www.schulentwicklung.nrw.de/sinus/upload/tagung20080424/2008_Wollring_Lernumgebungen.pdf</w:t>
        </w:r>
      </w:hyperlink>
    </w:p>
    <w:bookmarkEnd w:id="26"/>
    <w:bookmarkEnd w:id="27"/>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25"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2024-05-31T13:43:50Z</dcterms:created>
  <dcterms:modified xsi:type="dcterms:W3CDTF">2024-05-31T13:43:50Z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format">
    <vt:lpwstr>DD.MM.YYYY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rmaid">
    <vt:lpwstr/>
  </property>
  <property fmtid="{D5CDD505-2E9C-101B-9397-08002B2CF9AE}" pid="18" name="theme">
    <vt:lpwstr/>
  </property>
  <property fmtid="{D5CDD505-2E9C-101B-9397-08002B2CF9AE}" pid="19" name="toc-title">
    <vt:lpwstr>Inhaltsverzeichnis</vt:lpwstr>
  </property>
</Properties>
</file>