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 der Beurteilung</w:t>
      </w:r>
    </w:p>
    <w:p>
      <w:pPr>
        <w:pStyle w:val="Author"/>
      </w:pPr>
      <w:r>
        <w:t xml:space="preserve">Richard 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 diesem Lernmodul geht es um «Förderorientierung» und «Förderorientierte 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werden sich der Grundhaltung förderorientierten Unterrichts bewusst.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kennen unterschiedliche Instrumente zur förderorientierten Diagnose.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lernen didaktische Settings für förderorientierten Unterricht kennen …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gefällt Ihnen an diesem Modell?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Was schätzen Sie an diesem Modell als eher kritisch ein?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Inwiefern lässt sich dieses Modell auf der Sekundarstufe I umsetzen?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2024-11-01T05:42:03Z</dcterms:created>
  <dcterms:modified xsi:type="dcterms:W3CDTF">2024-11-01T05:42:03Z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