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Author"/>
      </w:pPr>
      <w:r>
        <w:t xml:space="preserve">Richard</w:t>
      </w:r>
      <w:r>
        <w:t xml:space="preserve"> </w:t>
      </w:r>
      <w:r>
        <w:t xml:space="preserve">Conrardy</w:t>
      </w:r>
    </w:p>
    <w:p>
      <w:pPr>
        <w:pStyle w:val="Date"/>
      </w:pPr>
      <w:r>
        <w:t xml:space="preserve">22.06.2024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behandeln</w:t>
      </w:r>
      <w:r>
        <w:t xml:space="preserve"> </w:t>
      </w:r>
      <w:r>
        <w:t xml:space="preserve">wird</w:t>
      </w:r>
      <w:r>
        <w:t xml:space="preserve"> </w:t>
      </w:r>
      <w:r>
        <w:t xml:space="preserve">das</w:t>
      </w:r>
      <w:r>
        <w:t xml:space="preserve"> </w:t>
      </w:r>
      <w:r>
        <w:t xml:space="preserve">Schweizerische</w:t>
      </w:r>
      <w:r>
        <w:t xml:space="preserve"> </w:t>
      </w:r>
      <w:r>
        <w:t xml:space="preserve">Urheberrechtsgesetz</w:t>
      </w:r>
      <w:r>
        <w:t xml:space="preserve"> </w:t>
      </w:r>
      <w:r>
        <w:t xml:space="preserve">so</w:t>
      </w:r>
      <w:r>
        <w:t xml:space="preserve"> </w:t>
      </w:r>
      <w:r>
        <w:t xml:space="preserve">behandelt,</w:t>
      </w:r>
      <w:r>
        <w:t xml:space="preserve"> </w:t>
      </w:r>
      <w:r>
        <w:t xml:space="preserve">dass</w:t>
      </w:r>
      <w:r>
        <w:t xml:space="preserve"> </w:t>
      </w:r>
      <w:r>
        <w:t xml:space="preserve">eine</w:t>
      </w:r>
      <w:r>
        <w:t xml:space="preserve"> </w:t>
      </w:r>
      <w:r>
        <w:t xml:space="preserve">Lehrperson</w:t>
      </w:r>
      <w:r>
        <w:t xml:space="preserve"> </w:t>
      </w:r>
      <w:r>
        <w:t xml:space="preserve">es</w:t>
      </w:r>
      <w:r>
        <w:t xml:space="preserve"> </w:t>
      </w:r>
      <w:r>
        <w:t xml:space="preserve">lehrplankonform</w:t>
      </w:r>
      <w:r>
        <w:t xml:space="preserve"> </w:t>
      </w:r>
      <w:r>
        <w:t xml:space="preserve">unterrichten</w:t>
      </w:r>
      <w:r>
        <w:t xml:space="preserve"> </w:t>
      </w:r>
      <w:r>
        <w:t xml:space="preserve">kann</w:t>
      </w:r>
      <w:r>
        <w:t xml:space="preserve"> </w:t>
      </w:r>
      <w:r>
        <w:t xml:space="preserve">und</w:t>
      </w:r>
      <w:r>
        <w:t xml:space="preserve"> </w:t>
      </w:r>
      <w:r>
        <w:t xml:space="preserve">im</w:t>
      </w:r>
      <w:r>
        <w:t xml:space="preserve"> </w:t>
      </w:r>
      <w:r>
        <w:t xml:space="preserve">Beruf</w:t>
      </w:r>
      <w:r>
        <w:t xml:space="preserve"> </w:t>
      </w:r>
      <w:r>
        <w:t xml:space="preserve">umsetzen</w:t>
      </w:r>
      <w:r>
        <w:t xml:space="preserve"> </w:t>
      </w:r>
      <w:r>
        <w:t xml:space="preserve">kann.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Wir …</w:t>
            </w:r>
          </w:p>
          <w:p>
            <w:pPr>
              <w:numPr>
                <w:ilvl w:val="0"/>
                <w:numId w:val="1001"/>
              </w:numPr>
              <w:pStyle w:val="Compact"/>
            </w:pPr>
            <w:r>
              <w:t xml:space="preserve">beurteilen bei einer Verwendung von fremden Inhalt ob sie rechtskonform ist.</w:t>
            </w:r>
          </w:p>
          <w:p>
            <w:pPr>
              <w:numPr>
                <w:ilvl w:val="0"/>
                <w:numId w:val="1001"/>
              </w:numPr>
              <w:pStyle w:val="Compact"/>
            </w:pPr>
            <w:r>
              <w:t xml:space="preserve">verwenden und veröffentlichen eigene Lehr-Lernmaterial rechtskonform.</w:t>
            </w:r>
          </w:p>
          <w:p>
            <w:pPr>
              <w:numPr>
                <w:ilvl w:val="0"/>
                <w:numId w:val="1001"/>
              </w:numPr>
              <w:pStyle w:val="Compact"/>
            </w:pPr>
            <w:r>
              <w:t xml:space="preserve">können eine rechtskonforme Herstellung von eigenen und fremden Inhalten auf Niveau Sekundarstufe 1 lehren.</w:t>
            </w:r>
          </w:p>
        </w:tc>
      </w:tr>
    </w:tbl>
    <w:bookmarkStart w:id="28" w:name="einleitung"/>
    <w:p>
      <w:pPr>
        <w:pStyle w:val="Heading1"/>
      </w:pPr>
      <w:r>
        <w:t xml:space="preserve">Einleitung</w:t>
      </w:r>
    </w:p>
    <w:p>
      <w:pPr>
        <w:pStyle w:val="FirstParagraph"/>
      </w:pPr>
      <w:r>
        <w:t xml:space="preserve">Im Gegensatz zum Begriff</w:t>
      </w:r>
      <w:r>
        <w:t xml:space="preserve"> </w:t>
      </w:r>
      <w:r>
        <w:rPr>
          <w:iCs/>
          <w:i/>
        </w:rPr>
        <w:t xml:space="preserve">Datenschutz</w:t>
      </w:r>
      <w:r>
        <w:t xml:space="preserve"> </w:t>
      </w:r>
      <w:r>
        <w:t xml:space="preserve">bezieht sich der Begriff</w:t>
      </w:r>
      <w:r>
        <w:t xml:space="preserve"> </w:t>
      </w:r>
      <w:r>
        <w:rPr>
          <w:iCs/>
          <w:i/>
        </w:rPr>
        <w:t xml:space="preserve">Urheberrecht</w:t>
      </w:r>
      <w:r>
        <w:t xml:space="preserve"> </w:t>
      </w:r>
      <w:r>
        <w:t xml:space="preserve">ausschliesslich auf den juristischen Begriff. Lehrpersonen sind keine Juristen, der Autor dieses Lernmoduls ist kein Jurist. Daher konzentriert sich dieses Modul darauf, das Schweizerische Gesetz zu verstehen, ohne eine Interpretation auf Basis vergangener Gerichtsurteile zu erwarten.</w:t>
      </w:r>
    </w:p>
    <w:p>
      <w:pPr>
        <w:pStyle w:val="BodyText"/>
      </w:pPr>
      <w:r>
        <w:t xml:space="preserve">Darüber hinaus wird sowohl auf eine Behandlung des für die Veröffentlichung von Werken auf internationalen Diensten häufig relevanten Immaterialgüterrechts anderer Länder als auch auf eine Analyse der Nutzungsbedingungen der einzelnen Plattformen verzichtet. Auch das</w:t>
      </w:r>
      <w:r>
        <w:t xml:space="preserve"> </w:t>
      </w:r>
      <w:hyperlink r:id="rId23">
        <w:r>
          <w:rPr>
            <w:rStyle w:val="Hyperlink"/>
          </w:rPr>
          <w:t xml:space="preserve">Recht am eigenen Bild</w:t>
        </w:r>
      </w:hyperlink>
      <w:r>
        <w:t xml:space="preserve"> </w:t>
      </w:r>
      <w:r>
        <w:t xml:space="preserve">bzw. die Abbildung erkennbarer Personen, die unter das</w:t>
      </w:r>
      <w:r>
        <w:t xml:space="preserve"> </w:t>
      </w:r>
      <w:hyperlink r:id="rId24">
        <w:r>
          <w:rPr>
            <w:rStyle w:val="Hyperlink"/>
          </w:rPr>
          <w:t xml:space="preserve">Datenschutzgesetz</w:t>
        </w:r>
      </w:hyperlink>
      <w:r>
        <w:t xml:space="preserve"> </w:t>
      </w:r>
      <w:r>
        <w:t xml:space="preserve">fällt, wird nicht behandelt.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Bei juristischen Themen wird empfohlen, das Gesetz wörtlich zu zitieren und auf Paraphrasen zu verzichten. Verwenden Sie den genauen Wortlaut des Gesetzes und vermeiden Sie Synonyme, es sei denn, Sie sind sicher, dass die Wörter im rechtlichen Kontext gleichbedeutend sind.</w:t>
            </w:r>
          </w:p>
        </w:tc>
      </w:tr>
    </w:tbl>
    <w:bookmarkEnd w:id="28"/>
    <w:bookmarkStart w:id="52" w:name="urheberrechtsgesetz-urg"/>
    <w:p>
      <w:pPr>
        <w:pStyle w:val="Heading1"/>
      </w:pPr>
      <w:r>
        <w:t xml:space="preserve">Urheberrechtsgesetz (URG)</w:t>
      </w:r>
    </w:p>
    <w:p>
      <w:pPr>
        <w:pStyle w:val="FirstParagraph"/>
      </w:pPr>
      <w:hyperlink r:id="rId29">
        <w:r>
          <w:rPr>
            <w:rStyle w:val="Hyperlink"/>
          </w:rPr>
          <w:t xml:space="preserve">MI.1.3.g</w:t>
        </w:r>
      </w:hyperlink>
      <w:r>
        <w:t xml:space="preserve"> </w:t>
      </w:r>
      <w:r>
        <w:t xml:space="preserve">bedingt, dass Sie das Bundesgesetz</w:t>
      </w:r>
      <w:r>
        <w:t xml:space="preserve"> </w:t>
      </w:r>
      <w:r>
        <w:t xml:space="preserve">über das</w:t>
      </w:r>
      <w:r>
        <w:t xml:space="preserve"> </w:t>
      </w:r>
      <w:hyperlink r:id="rId30">
        <w:r>
          <w:rPr>
            <w:rStyle w:val="Hyperlink"/>
          </w:rPr>
          <w:t xml:space="preserve">Urheberrecht und verwandte Schutzrechte vom 9. Oktober 1992 (Urheberrechtsgesetz, URG; SR 231.1)</w:t>
        </w:r>
      </w:hyperlink>
      <w:r>
        <w:t xml:space="preserve"> </w:t>
      </w:r>
      <w:r>
        <w:t xml:space="preserve">im Unterricht behandeln.</w:t>
      </w:r>
    </w:p>
    <w:p>
      <w:pPr>
        <w:pStyle w:val="BodyText"/>
      </w:pPr>
      <w:r>
        <w:t xml:space="preserve">Lesen Sie das</w:t>
      </w:r>
      <w:r>
        <w:t xml:space="preserve"> </w:t>
      </w:r>
      <w:hyperlink r:id="rId30">
        <w:r>
          <w:rPr>
            <w:rStyle w:val="Hyperlink"/>
          </w:rPr>
          <w:t xml:space="preserve">URG</w:t>
        </w:r>
      </w:hyperlink>
      <w:r>
        <w:t xml:space="preserve">, sowie</w:t>
      </w:r>
      <w:r>
        <w:t xml:space="preserve"> </w:t>
      </w:r>
      <w:hyperlink r:id="rId31">
        <w:r>
          <w:rPr>
            <w:rStyle w:val="Hyperlink"/>
          </w:rPr>
          <w:t xml:space="preserve">Art. 321 bis Art. 321e OR</w:t>
        </w:r>
      </w:hyperlink>
      <w:r>
        <w:t xml:space="preserve">. Lösen Sie</w:t>
      </w:r>
      <w:r>
        <w:t xml:space="preserve"> </w:t>
      </w:r>
      <w:r>
        <w:rPr>
          <w:iCs/>
          <w:i/>
        </w:rPr>
        <w:t xml:space="preserve">anschliessend</w:t>
      </w:r>
      <w:r>
        <w:t xml:space="preserve"> </w:t>
      </w:r>
      <w:r>
        <w:t xml:space="preserve">die Fragen unten mit Hilfe der Gesetze.</w:t>
      </w:r>
    </w:p>
    <w:bookmarkStart w:id="51" w:name="bearbeitungsfragen"/>
    <w:p>
      <w:pPr>
        <w:pStyle w:val="Heading2"/>
      </w:pPr>
      <w:r>
        <w:t xml:space="preserve">Bearbeitungsfragen</w:t>
      </w:r>
    </w:p>
    <w:bookmarkStart w:id="32" w:name="exr-line"/>
    <w:p>
      <w:pPr>
        <w:pStyle w:val="FirstParagraph"/>
      </w:pPr>
      <w:r>
        <w:rPr>
          <w:bCs/>
          <w:b/>
        </w:rPr>
        <w:t xml:space="preserve">Übungsaufgabe 1</w:t>
      </w:r>
      <w:r>
        <w:t xml:space="preserve"> </w:t>
      </w:r>
      <w:r>
        <w:t xml:space="preserve">Der Urheber eines Werkes ist seit 80 Jahren verstorben. Ist die Übersetzung damit ebenfalls frei?</w:t>
      </w:r>
    </w:p>
    <w:bookmarkEnd w:id="32"/>
    <w:p>
      <w:pPr>
        <w:pStyle w:val="BodyText"/>
      </w:pPr>
      <w:r>
        <w:t xml:space="preserve">Lösungsvorschlag</w:t>
      </w:r>
    </w:p>
    <w:p>
      <w:pPr>
        <w:pStyle w:val="BodyText"/>
      </w:pPr>
      <w:r>
        <w:t xml:space="preserve">Nein.</w:t>
      </w:r>
      <w:r>
        <w:t xml:space="preserve"> </w:t>
      </w:r>
      <w:r>
        <w:t xml:space="preserve">“</w:t>
      </w:r>
      <w:r>
        <w:t xml:space="preserve">Werke zweiter Hand sind selbständig geschützt.</w:t>
      </w:r>
      <w:r>
        <w:t xml:space="preserve">”</w:t>
      </w:r>
      <w:r>
        <w:t xml:space="preserve"> </w:t>
      </w:r>
      <w:r>
        <w:t xml:space="preserve">URG Art. 3 Abs. 3</w:t>
      </w:r>
    </w:p>
    <w:bookmarkStart w:id="33" w:name="exr-line"/>
    <w:p>
      <w:pPr>
        <w:pStyle w:val="BodyText"/>
      </w:pPr>
      <w:r>
        <w:rPr>
          <w:bCs/>
          <w:b/>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33"/>
    <w:p>
      <w:pPr>
        <w:pStyle w:val="BodyText"/>
      </w:pPr>
      <w:r>
        <w:t xml:space="preserve">Lösungsvorschlag</w:t>
      </w:r>
    </w:p>
    <w:p>
      <w:pPr>
        <w:pStyle w:val="BodyText"/>
      </w:pPr>
      <w:r>
        <w:t xml:space="preserve">Doch.</w:t>
      </w:r>
      <w:r>
        <w:t xml:space="preserve"> </w:t>
      </w:r>
      <w:r>
        <w:t xml:space="preserve">“</w:t>
      </w:r>
      <w:r>
        <w:t xml:space="preserve">Sammlungen sind selbständig geschützt, sofern es sich bezüglich Auswahl oder Anordnung um geistige Schöpfungen mit individuellem Charakter handelt.</w:t>
      </w:r>
      <w:r>
        <w:t xml:space="preserve">”</w:t>
      </w:r>
      <w:r>
        <w:t xml:space="preserve"> </w:t>
      </w:r>
      <w:r>
        <w:t xml:space="preserve">URG Art. 4 Abs. 1</w:t>
      </w:r>
    </w:p>
    <w:bookmarkStart w:id="34" w:name="exr-line"/>
    <w:p>
      <w:pPr>
        <w:pStyle w:val="BodyText"/>
      </w:pPr>
      <w:r>
        <w:rPr>
          <w:bCs/>
          <w:b/>
        </w:rPr>
        <w:t xml:space="preserve">Übungsaufgabe 3</w:t>
      </w:r>
      <w:r>
        <w:t xml:space="preserve"> </w:t>
      </w:r>
      <w:r>
        <w:t xml:space="preserve">Dürfen Lehrmaterialien welche zur ausschliesslichen Verwendung in einem Kurs erschaffen wurden, zitiert werden?</w:t>
      </w:r>
    </w:p>
    <w:bookmarkEnd w:id="34"/>
    <w:p>
      <w:pPr>
        <w:pStyle w:val="BodyText"/>
      </w:pPr>
      <w:r>
        <w:t xml:space="preserve">Lösungsvorschlag</w:t>
      </w:r>
    </w:p>
    <w:p>
      <w:pPr>
        <w:pStyle w:val="BodyText"/>
      </w:pPr>
      <w:r>
        <w:t xml:space="preserve">Ja,</w:t>
      </w:r>
      <w:r>
        <w:t xml:space="preserve"> </w:t>
      </w:r>
      <w:r>
        <w:t xml:space="preserve">“</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w:t>
      </w:r>
      <w:r>
        <w:t xml:space="preserve"> </w:t>
      </w:r>
      <w:r>
        <w:t xml:space="preserve">URG Art. 9 Abs. 3</w:t>
      </w:r>
    </w:p>
    <w:p>
      <w:pPr>
        <w:pStyle w:val="BodyText"/>
      </w:pPr>
      <w:r>
        <w:t xml:space="preserve">“</w:t>
      </w:r>
      <w:r>
        <w:t xml:space="preserve">Veröffentlichte Werke dürfen zitiert werden, wenn das Zitat zur Erläuterung, als Hinweis oder zur Veranschaulichung dient und der Umfang des Zitats durch diesen Zweck gerechtfertigt ist.</w:t>
      </w:r>
      <w:r>
        <w:t xml:space="preserve">”</w:t>
      </w:r>
      <w:r>
        <w:t xml:space="preserve"> </w:t>
      </w:r>
      <w:r>
        <w:t xml:space="preserve">URG Art. 25 Abs. 1</w:t>
      </w:r>
    </w:p>
    <w:bookmarkStart w:id="35" w:name="exr-line"/>
    <w:p>
      <w:pPr>
        <w:pStyle w:val="BodyText"/>
      </w:pPr>
      <w:r>
        <w:rPr>
          <w:bCs/>
          <w:b/>
        </w:rPr>
        <w:t xml:space="preserve">Übungsaufgabe 4</w:t>
      </w:r>
      <w:r>
        <w:t xml:space="preserve"> </w:t>
      </w:r>
      <w:r>
        <w:t xml:space="preserve">Dürfen Werke, deren Ursprung nicht bekannt ist, zitiert werden?</w:t>
      </w:r>
    </w:p>
    <w:bookmarkEnd w:id="35"/>
    <w:p>
      <w:pPr>
        <w:pStyle w:val="BodyText"/>
      </w:pPr>
      <w:r>
        <w:t xml:space="preserve">Lösungsvorschlag</w:t>
      </w:r>
    </w:p>
    <w:p>
      <w:pPr>
        <w:pStyle w:val="BodyText"/>
      </w:pPr>
      <w:r>
        <w:t xml:space="preserve">Ja.</w:t>
      </w:r>
      <w:r>
        <w:t xml:space="preserve"> </w:t>
      </w:r>
      <w:r>
        <w:t xml:space="preserve">“</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w:t>
      </w:r>
      <w:r>
        <w:t xml:space="preserve"> </w:t>
      </w:r>
      <w:r>
        <w:t xml:space="preserve">URG Art. 22b Abs. 3</w:t>
      </w:r>
    </w:p>
    <w:bookmarkStart w:id="36" w:name="exr-line"/>
    <w:p>
      <w:pPr>
        <w:pStyle w:val="BodyText"/>
      </w:pPr>
      <w:r>
        <w:rPr>
          <w:bCs/>
          <w:b/>
        </w:rPr>
        <w:t xml:space="preserve">Übungsaufgabe 5</w:t>
      </w:r>
      <w:r>
        <w:t xml:space="preserve"> </w:t>
      </w:r>
      <w:r>
        <w:t xml:space="preserve">Darf ich fremde Unterrichtsmaterialien umändern und in meinem Unterricht benutzen?</w:t>
      </w:r>
    </w:p>
    <w:bookmarkEnd w:id="36"/>
    <w:p>
      <w:pPr>
        <w:pStyle w:val="BodyText"/>
      </w:pPr>
      <w:r>
        <w:t xml:space="preserve">Lösungsvorschlag</w:t>
      </w:r>
    </w:p>
    <w:p>
      <w:pPr>
        <w:pStyle w:val="BodyText"/>
      </w:pPr>
      <w:r>
        <w:t xml:space="preserve">Nein.</w:t>
      </w:r>
      <w:r>
        <w:t xml:space="preserve"> </w:t>
      </w:r>
      <w:r>
        <w:t xml:space="preserve">“</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w:t>
      </w:r>
      <w:r>
        <w:t xml:space="preserve"> </w:t>
      </w:r>
      <w:r>
        <w:t xml:space="preserve">URG Art. 11 Abs. 1</w:t>
      </w:r>
    </w:p>
    <w:bookmarkStart w:id="37" w:name="exr-line"/>
    <w:p>
      <w:pPr>
        <w:pStyle w:val="BodyText"/>
      </w:pPr>
      <w:r>
        <w:rPr>
          <w:bCs/>
          <w:b/>
        </w:rPr>
        <w:t xml:space="preserve">Übungsaufgabe 6</w:t>
      </w:r>
      <w:r>
        <w:t xml:space="preserve"> </w:t>
      </w:r>
      <w:r>
        <w:t xml:space="preserve">Darf ich Unterrichtsmaterialien, welche ich von einer eng befreundeten Lehrperson (legal) erhalten habe, an meine Klasse für den Unterricht weitergeben?</w:t>
      </w:r>
    </w:p>
    <w:bookmarkEnd w:id="37"/>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38" w:name="exr-line"/>
    <w:p>
      <w:pPr>
        <w:pStyle w:val="BodyText"/>
      </w:pPr>
      <w:r>
        <w:rPr>
          <w:bCs/>
          <w:b/>
        </w:rPr>
        <w:t xml:space="preserve">Übungsaufgabe 7</w:t>
      </w:r>
      <w:r>
        <w:t xml:space="preserve"> </w:t>
      </w:r>
      <w:r>
        <w:t xml:space="preserve">Erhalten Urheber eine Vergütung, falls ich für den Unterricht in meiner Klasse verwende?</w:t>
      </w:r>
    </w:p>
    <w:bookmarkEnd w:id="38"/>
    <w:p>
      <w:pPr>
        <w:pStyle w:val="BodyText"/>
      </w:pPr>
      <w:r>
        <w:t xml:space="preserve">Lösungsvorschlag</w:t>
      </w:r>
    </w:p>
    <w:p>
      <w:pPr>
        <w:pStyle w:val="BodyText"/>
      </w:pPr>
      <w:r>
        <w:t xml:space="preserve">Ja.</w:t>
      </w:r>
      <w:r>
        <w:t xml:space="preserve"> </w:t>
      </w:r>
      <w:r>
        <w:t xml:space="preserve">“</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w:t>
      </w:r>
      <w:r>
        <w:t xml:space="preserve"> </w:t>
      </w:r>
      <w:r>
        <w:t xml:space="preserve">URG Art. 20 Abs. 2</w:t>
      </w:r>
    </w:p>
    <w:bookmarkStart w:id="39" w:name="exr-line"/>
    <w:p>
      <w:pPr>
        <w:pStyle w:val="BodyText"/>
      </w:pPr>
      <w:r>
        <w:rPr>
          <w:bCs/>
          <w:b/>
        </w:rPr>
        <w:t xml:space="preserve">Übungsaufgabe 8</w:t>
      </w:r>
      <w:r>
        <w:t xml:space="preserve"> </w:t>
      </w:r>
      <w:r>
        <w:t xml:space="preserve">Meine Kollege benutzt die von mir (privat) erstellten Materialien. Schuldet er mir eine Vergütung?</w:t>
      </w:r>
    </w:p>
    <w:bookmarkEnd w:id="39"/>
    <w:p>
      <w:pPr>
        <w:pStyle w:val="BodyText"/>
      </w:pPr>
      <w:r>
        <w:t xml:space="preserve">Lösungsvorschlag</w:t>
      </w:r>
    </w:p>
    <w:p>
      <w:pPr>
        <w:pStyle w:val="BodyText"/>
      </w:pPr>
      <w:r>
        <w:t xml:space="preserve">Ja, aber nicht direkt sondern über eine Verwertungsgesellschaft.</w:t>
      </w:r>
      <w:r>
        <w:t xml:space="preserve"> </w:t>
      </w:r>
      <w:r>
        <w:t xml:space="preserve">“</w:t>
      </w:r>
      <w:r>
        <w:t xml:space="preserve">Die Vergütungsansprüche können nur von zugelassenen Verwertungsgesellschaften geltend gemacht werden.</w:t>
      </w:r>
      <w:r>
        <w:t xml:space="preserve">”</w:t>
      </w:r>
      <w:r>
        <w:t xml:space="preserve"> </w:t>
      </w:r>
      <w:r>
        <w:t xml:space="preserve">URG Art. 20 Abs. 4</w:t>
      </w:r>
    </w:p>
    <w:bookmarkStart w:id="40" w:name="exr-line"/>
    <w:p>
      <w:pPr>
        <w:pStyle w:val="BodyText"/>
      </w:pPr>
      <w:r>
        <w:rPr>
          <w:bCs/>
          <w:b/>
        </w:rPr>
        <w:t xml:space="preserve">Übungsaufgabe 9</w:t>
      </w:r>
      <w:r>
        <w:t xml:space="preserve"> </w:t>
      </w:r>
      <w:r>
        <w:t xml:space="preserve">Wird ein nicht weitesgehend vollständiges Werkexemplar für den Unterricht vervielfältig, muss dann die Quelle angegeben werden?</w:t>
      </w:r>
    </w:p>
    <w:bookmarkEnd w:id="40"/>
    <w:p>
      <w:pPr>
        <w:pStyle w:val="BodyText"/>
      </w:pPr>
      <w:r>
        <w:t xml:space="preserve">Lösungsvorschlag</w:t>
      </w:r>
    </w:p>
    <w:p>
      <w:pPr>
        <w:pStyle w:val="BodyText"/>
      </w:pPr>
      <w:r>
        <w:t xml:space="preserve">Nein, denn hier handelt es sich um</w:t>
      </w:r>
      <w:r>
        <w:t xml:space="preserve"> </w:t>
      </w:r>
      <w:r>
        <w:t xml:space="preserve">“</w:t>
      </w:r>
      <w:r>
        <w:t xml:space="preserve">Eigengebrauch</w:t>
      </w:r>
      <w:r>
        <w:t xml:space="preserve">”</w:t>
      </w:r>
      <w:r>
        <w:t xml:space="preserve"> </w:t>
      </w:r>
      <w:r>
        <w:t xml:space="preserve">nach URG Art. 19 Abs. 1 lit. b und nicht um ein Zitat nach URG Art. 25</w:t>
      </w:r>
    </w:p>
    <w:bookmarkStart w:id="41" w:name="exr-line"/>
    <w:p>
      <w:pPr>
        <w:pStyle w:val="BodyText"/>
      </w:pPr>
      <w:r>
        <w:rPr>
          <w:bCs/>
          <w:b/>
        </w:rPr>
        <w:t xml:space="preserve">Übungsaufgabe 10</w:t>
      </w:r>
      <w:r>
        <w:t xml:space="preserve"> </w:t>
      </w:r>
      <w:r>
        <w:t xml:space="preserve">Darf bildende Kunst zitiert werden?</w:t>
      </w:r>
    </w:p>
    <w:bookmarkEnd w:id="41"/>
    <w:p>
      <w:pPr>
        <w:pStyle w:val="BodyText"/>
      </w:pPr>
      <w:r>
        <w:t xml:space="preserve">Lösungsvorschlag</w:t>
      </w:r>
    </w:p>
    <w:p>
      <w:pPr>
        <w:pStyle w:val="BodyText"/>
      </w:pPr>
      <w:r>
        <w:t xml:space="preserve">Ja, allerdings nur</w:t>
      </w:r>
      <w:r>
        <w:t xml:space="preserve"> </w:t>
      </w:r>
      <w:r>
        <w:t xml:space="preserve">“</w:t>
      </w:r>
      <w:r>
        <w:t xml:space="preserve">wenn das Zitat zur Erläuterung, als Hinweis oder zur Veranschaulichung dient und der Umfang des Zitats durch diesen Zweck gerechtfertigt ist.</w:t>
      </w:r>
      <w:r>
        <w:t xml:space="preserve">”</w:t>
      </w:r>
      <w:r>
        <w:t xml:space="preserve"> </w:t>
      </w:r>
      <w:r>
        <w:t xml:space="preserve">URG Art. 25</w:t>
      </w:r>
    </w:p>
    <w:p>
      <w:pPr>
        <w:pStyle w:val="BodyText"/>
      </w:pPr>
      <w:r>
        <w:t xml:space="preserve">Das IGE stellt hier klar:</w:t>
      </w:r>
      <w:r>
        <w:t xml:space="preserve"> </w:t>
      </w:r>
      <w:r>
        <w:t xml:space="preserve">“</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w:t>
      </w:r>
      <w:r>
        <w:t xml:space="preserve"> </w:t>
      </w:r>
      <w:hyperlink r:id="rId42">
        <w:r>
          <w:rPr>
            <w:rStyle w:val="Hyperlink"/>
          </w:rPr>
          <w:t xml:space="preserve">IGE</w:t>
        </w:r>
      </w:hyperlink>
    </w:p>
    <w:bookmarkStart w:id="43" w:name="exr-line"/>
    <w:p>
      <w:pPr>
        <w:pStyle w:val="BodyText"/>
      </w:pPr>
      <w:r>
        <w:rPr>
          <w:bCs/>
          <w:b/>
        </w:rPr>
        <w:t xml:space="preserve">Übungsaufgabe 11</w:t>
      </w:r>
      <w:r>
        <w:t xml:space="preserve"> </w:t>
      </w:r>
      <w:r>
        <w:t xml:space="preserve">Gibt es (gesetzliche) Regeln wie man die Quelle bei Zitaten korrekt angibt?</w:t>
      </w:r>
    </w:p>
    <w:bookmarkEnd w:id="43"/>
    <w:p>
      <w:pPr>
        <w:pStyle w:val="BodyText"/>
      </w:pPr>
      <w:r>
        <w:t xml:space="preserve">Lösungsvorschlag</w:t>
      </w:r>
    </w:p>
    <w:p>
      <w:pPr>
        <w:pStyle w:val="BodyText"/>
      </w:pPr>
      <w:r>
        <w:t xml:space="preserve">Nein.</w:t>
      </w:r>
      <w:r>
        <w:t xml:space="preserve"> </w:t>
      </w:r>
      <w:r>
        <w:t xml:space="preserve">“</w:t>
      </w:r>
      <w:r>
        <w:t xml:space="preserve">Das Zitat als solches und die Quelle müssen bezeichnet werden. Wird in der Quelle auf die Urheberschaft hingewiesen, so ist diese ebenfalls anzugeben.</w:t>
      </w:r>
      <w:r>
        <w:t xml:space="preserve">”</w:t>
      </w:r>
      <w:r>
        <w:t xml:space="preserve"> </w:t>
      </w:r>
      <w:r>
        <w:t xml:space="preserve">URG Art. 25 Abs. 2</w:t>
      </w:r>
    </w:p>
    <w:bookmarkStart w:id="44" w:name="exr-line"/>
    <w:p>
      <w:pPr>
        <w:pStyle w:val="BodyText"/>
      </w:pPr>
      <w:r>
        <w:rPr>
          <w:bCs/>
          <w:b/>
        </w:rPr>
        <w:t xml:space="preserve">Übungsaufgabe 12</w:t>
      </w:r>
      <w:r>
        <w:t xml:space="preserve"> </w:t>
      </w:r>
      <w:r>
        <w:t xml:space="preserve">Ist der Film</w:t>
      </w:r>
      <w:r>
        <w:t xml:space="preserve"> </w:t>
      </w:r>
      <w:r>
        <w:t xml:space="preserve">“</w:t>
      </w:r>
      <w:r>
        <w:t xml:space="preserve">Modern Times</w:t>
      </w:r>
      <w:r>
        <w:t xml:space="preserve">”</w:t>
      </w:r>
      <w:r>
        <w:t xml:space="preserve"> </w:t>
      </w:r>
      <w:r>
        <w:t xml:space="preserve">(1936) noch urheberrechtlich geschützt?</w:t>
      </w:r>
    </w:p>
    <w:bookmarkEnd w:id="44"/>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45">
        <w:r>
          <w:rPr>
            <w:rStyle w:val="Hyperlink"/>
          </w:rPr>
          <w:t xml:space="preserve">Quelle</w:t>
        </w:r>
      </w:hyperlink>
      <w:r>
        <w:t xml:space="preserve">, somit erlischt das Urheberrecht am 25.12.2027.</w:t>
      </w:r>
    </w:p>
    <w:bookmarkStart w:id="46" w:name="exr-line"/>
    <w:p>
      <w:pPr>
        <w:pStyle w:val="BodyText"/>
      </w:pPr>
      <w:r>
        <w:rPr>
          <w:bCs/>
          <w:b/>
        </w:rPr>
        <w:t xml:space="preserve">Übungsaufgabe 13</w:t>
      </w:r>
      <w:r>
        <w:t xml:space="preserve"> </w:t>
      </w:r>
      <w:r>
        <w:t xml:space="preserve">Haftet die Lehrperson bei einem Urheberrechtsverstoss persönlich?</w:t>
      </w:r>
    </w:p>
    <w:bookmarkEnd w:id="46"/>
    <w:p>
      <w:pPr>
        <w:pStyle w:val="BodyText"/>
      </w:pPr>
      <w:r>
        <w:t xml:space="preserve">Lösungsvorschlag</w:t>
      </w:r>
    </w:p>
    <w:p>
      <w:pPr>
        <w:pStyle w:val="BodyText"/>
      </w:pPr>
      <w:r>
        <w:t xml:space="preserve">“</w:t>
      </w:r>
      <w:r>
        <w:t xml:space="preserve">Der Arbeitnehmer ist für den Schaden verantwortlich, den er absichtlich oder fahrlässig dem Arbeitgeber zufügt.</w:t>
      </w:r>
      <w:r>
        <w:t xml:space="preserve">”</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47" w:name="exr-line"/>
    <w:p>
      <w:pPr>
        <w:pStyle w:val="BodyText"/>
      </w:pPr>
      <w:r>
        <w:rPr>
          <w:bCs/>
          <w:b/>
        </w:rPr>
        <w:t xml:space="preserve">Übungsaufgabe 14</w:t>
      </w:r>
      <w:r>
        <w:t xml:space="preserve"> </w:t>
      </w:r>
      <w:r>
        <w:t xml:space="preserve">Dürfen Filme und Serien gratis gedownloaded werden, falls davon auszugehen ist, dass diese unrechtmässig angeboten werden?</w:t>
      </w:r>
    </w:p>
    <w:bookmarkEnd w:id="47"/>
    <w:p>
      <w:pPr>
        <w:pStyle w:val="BodyText"/>
      </w:pPr>
      <w:r>
        <w:t xml:space="preserve">Lösungsvorschlag</w:t>
      </w:r>
    </w:p>
    <w:p>
      <w:pPr>
        <w:pStyle w:val="BodyText"/>
      </w:pPr>
      <w:r>
        <w:t xml:space="preserve">Gemäss dem Eidgenössischem Institut für Geistiges Eigentum ist das Downloaden für den Privatgebrauch nicht verboten:</w:t>
      </w:r>
    </w:p>
    <w:p>
      <w:pPr>
        <w:pStyle w:val="BlockText"/>
      </w:pPr>
      <w:r>
        <w:t xml:space="preserve">“</w:t>
      </w:r>
      <w:r>
        <w:t xml:space="preserve">Das Herunterladen oder Streaming für den Privatgebrauch ist gesetzlich erlaubt. Dies gilt selbst dann, wenn Sie von illegalen Quellen herunterladen. Letzteres steht zwar nicht ausdrücklich im Gesetz, scheint aber heute unbestritten zu sein. Das Hochladen von Werken gehört hingegen nicht zum gesetzlich erlaubten Privatgebrauch.</w:t>
      </w:r>
      <w:r>
        <w:t xml:space="preserve">”</w:t>
      </w:r>
      <w:r>
        <w:t xml:space="preserve"> </w:t>
      </w:r>
      <w:hyperlink r:id="rId48">
        <w:r>
          <w:rPr>
            <w:rStyle w:val="Hyperlink"/>
          </w:rPr>
          <w:t xml:space="preserve">Quelle: IGE</w:t>
        </w:r>
      </w:hyperlink>
    </w:p>
    <w:bookmarkStart w:id="49" w:name="exr-line"/>
    <w:p>
      <w:pPr>
        <w:pStyle w:val="FirstParagraph"/>
      </w:pPr>
      <w:r>
        <w:rPr>
          <w:bCs/>
          <w:b/>
        </w:rPr>
        <w:t xml:space="preserve">Übungsaufgabe 15</w:t>
      </w:r>
      <w:r>
        <w:t xml:space="preserve"> </w:t>
      </w:r>
      <w:r>
        <w:t xml:space="preserve">Darf ein Werk (Statue oder Fassadenmalerei) auf einem Privathaus photographiert und das Photo veröffentlicht werden?</w:t>
      </w:r>
    </w:p>
    <w:bookmarkEnd w:id="49"/>
    <w:p>
      <w:pPr>
        <w:pStyle w:val="BodyText"/>
      </w:pPr>
      <w:r>
        <w:t xml:space="preserve">Lösungsvorschlag</w:t>
      </w:r>
    </w:p>
    <w:p>
      <w:pPr>
        <w:pStyle w:val="BodyText"/>
      </w:pPr>
      <w:r>
        <w:t xml:space="preserve">Ja, Gemäss Art. 27 Abs. 1 URG dürfen Werke welche sich auf allgemein zugänglichem Grund befindet, abgebildet werden. Allgemein zugänglicher Grund schliesst Privatgrund nicht aus.</w:t>
      </w:r>
    </w:p>
    <w:p>
      <w:pPr>
        <w:pStyle w:val="BodyText"/>
      </w:pPr>
      <w:r>
        <w:t xml:space="preserve">Gemäss Art. 27 Abs. 2 URG darf die Abbildung jedoch nicht dreidimensional (z.B. eine Statue) sein und die Abbildung darf nicht zum gleichen Zweck vewendet werden, eine Fassadenmalerei darf z.B. nicht auf der eigenen Hausfassade abgebildet werden.</w:t>
      </w:r>
    </w:p>
    <w:bookmarkStart w:id="50" w:name="exr-line"/>
    <w:p>
      <w:pPr>
        <w:pStyle w:val="BodyText"/>
      </w:pPr>
      <w:r>
        <w:rPr>
          <w:bCs/>
          <w:b/>
        </w:rPr>
        <w:t xml:space="preserve">Übungsaufgabe 16</w:t>
      </w:r>
      <w:r>
        <w:t xml:space="preserve"> </w:t>
      </w:r>
      <w:r>
        <w:t xml:space="preserve">Gehört das Werk, welches ein Programm dank maschinellem Lernen und einer Benutzereingabe erstellt hat, diesem Benutzer?</w:t>
      </w:r>
    </w:p>
    <w:bookmarkEnd w:id="50"/>
    <w:p>
      <w:pPr>
        <w:pStyle w:val="BodyText"/>
      </w:pPr>
      <w:r>
        <w:t xml:space="preserve">Lösungsvorschlag</w:t>
      </w:r>
    </w:p>
    <w:p>
      <w:pPr>
        <w:pStyle w:val="BodyText"/>
      </w:pPr>
      <w:r>
        <w:t xml:space="preserve">Die Rechtssprechung bei</w:t>
      </w:r>
      <w:r>
        <w:t xml:space="preserve"> </w:t>
      </w:r>
      <w:r>
        <w:t xml:space="preserve">“</w:t>
      </w:r>
      <w:r>
        <w:t xml:space="preserve">KI</w:t>
      </w:r>
      <w:r>
        <w:t xml:space="preserve">”</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w:t>
      </w:r>
      <w:r>
        <w:t xml:space="preserve">Urheber oder Urheberin ist die natürliche Person, die das Werk geschaffen hat.</w:t>
      </w:r>
      <w:r>
        <w:t xml:space="preserve">”</w:t>
      </w:r>
      <w:r>
        <w:t xml:space="preserve"> </w:t>
      </w:r>
      <w:r>
        <w:t xml:space="preserve">Art. 6 URG</w:t>
      </w:r>
    </w:p>
    <w:bookmarkEnd w:id="51"/>
    <w:bookmarkEnd w:id="52"/>
    <w:bookmarkStart w:id="53" w:name="gemeinsamer-tarif-7"/>
    <w:p>
      <w:pPr>
        <w:pStyle w:val="Heading1"/>
      </w:pPr>
      <w:r>
        <w:t xml:space="preserve">Gemeinsamer Tarif 7</w:t>
      </w:r>
    </w:p>
    <w:p>
      <w:pPr>
        <w:pStyle w:val="FirstParagraph"/>
      </w:pPr>
      <w:r>
        <w:t xml:space="preserve">ProLitteris (2022)</w:t>
      </w:r>
      <w:r>
        <w:t xml:space="preserve"> </w:t>
      </w:r>
      <w:r>
        <w:t xml:space="preserve">hält im gemeinsamen Tarif 7 (GT7) weitere Rechte für die Nutzung in Schulen fest. Diese gehen über die Rechte nach</w:t>
      </w:r>
      <w:r>
        <w:t xml:space="preserve"> </w:t>
      </w:r>
      <w:hyperlink r:id="rId30">
        <w:r>
          <w:rPr>
            <w:rStyle w:val="Hyperlink"/>
          </w:rPr>
          <w:t xml:space="preserve">Art. 19 Abs. 1 lit. b URG</w:t>
        </w:r>
      </w:hyperlink>
      <w:r>
        <w:t xml:space="preserve"> </w:t>
      </w:r>
      <w:r>
        <w:t xml:space="preserve">hinaus. GT7 ist jedoch nicht anwendbar auf eine breitere Veröffentlichung.</w:t>
      </w:r>
    </w:p>
    <w:bookmarkEnd w:id="53"/>
    <w:bookmarkStart w:id="59"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58" w:name="refs"/>
    <w:bookmarkStart w:id="55" w:name="ref-hofmann_wer_2016"/>
    <w:p>
      <w:pPr>
        <w:pStyle w:val="Bibliography"/>
      </w:pPr>
      <w:r>
        <w:t xml:space="preserve">Hofmann, P. (2016). Wer hat’s erfunden wem gehört es?</w:t>
      </w:r>
      <w:r>
        <w:t xml:space="preserve"> </w:t>
      </w:r>
      <w:r>
        <w:rPr>
          <w:iCs/>
          <w:i/>
        </w:rPr>
        <w:t xml:space="preserve">Bildung Schweiz</w:t>
      </w:r>
      <w:r>
        <w:t xml:space="preserve">,</w:t>
      </w:r>
      <w:r>
        <w:t xml:space="preserve"> </w:t>
      </w:r>
      <w:r>
        <w:rPr>
          <w:iCs/>
          <w:i/>
        </w:rPr>
        <w:t xml:space="preserve">6</w:t>
      </w:r>
      <w:r>
        <w:t xml:space="preserve">, 32.</w:t>
      </w:r>
      <w:r>
        <w:t xml:space="preserve"> </w:t>
      </w:r>
      <w:hyperlink r:id="rId54">
        <w:r>
          <w:rPr>
            <w:rStyle w:val="Hyperlink"/>
          </w:rPr>
          <w:t xml:space="preserve">https://www.bildungschweiz.ch/</w:t>
        </w:r>
      </w:hyperlink>
    </w:p>
    <w:bookmarkEnd w:id="55"/>
    <w:bookmarkStart w:id="57" w:name="ref-prolitteris_gemeinsamer_2022"/>
    <w:p>
      <w:pPr>
        <w:pStyle w:val="Bibliography"/>
      </w:pPr>
      <w:r>
        <w:t xml:space="preserve">ProLitteris. (2022).</w:t>
      </w:r>
      <w:r>
        <w:t xml:space="preserve"> </w:t>
      </w:r>
      <w:r>
        <w:rPr>
          <w:iCs/>
          <w:i/>
        </w:rPr>
        <w:t xml:space="preserve">Gemeinsamer Tarif 7 (</w:t>
      </w:r>
      <w:r>
        <w:rPr>
          <w:iCs/>
          <w:i/>
        </w:rPr>
        <w:t xml:space="preserve">GT</w:t>
      </w:r>
      <w:r>
        <w:rPr>
          <w:iCs/>
          <w:i/>
        </w:rPr>
        <w:t xml:space="preserve"> </w:t>
      </w:r>
      <w:r>
        <w:rPr>
          <w:iCs/>
          <w:i/>
        </w:rPr>
        <w:t xml:space="preserve">7)</w:t>
      </w:r>
      <w:r>
        <w:t xml:space="preserve">.</w:t>
      </w:r>
      <w:r>
        <w:t xml:space="preserve"> </w:t>
      </w:r>
      <w:r>
        <w:t xml:space="preserve">ProLitteris</w:t>
      </w:r>
      <w:r>
        <w:t xml:space="preserve">, Schweizerische Urheberrechtsgesellschaft für Literatur und bildende Kuns.</w:t>
      </w:r>
      <w:r>
        <w:t xml:space="preserve"> </w:t>
      </w:r>
      <w:hyperlink r:id="rId56">
        <w:r>
          <w:rPr>
            <w:rStyle w:val="Hyperlink"/>
          </w:rPr>
          <w:t xml:space="preserve">https://shab.ch/#!/search/publications/detail/3e0adfa3-b9e2-432c-a061-121a1c0e3b27</w:t>
        </w:r>
      </w:hyperlink>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Richard Conrardy</dc:creator>
  <dc:language>de</dc:language>
  <cp:keywords/>
  <dcterms:created xsi:type="dcterms:W3CDTF">2024-10-31T20:06:36Z</dcterms:created>
  <dcterms:modified xsi:type="dcterms:W3CDTF">2024-10-31T20:06:36Z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behandeln wird das Schweizerische Urheberrechtsgesetz so behandelt, dass eine Lehrperson es lehrplankonform unterrichten kann und im Beruf umsetzen kann.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ategories">
    <vt:lpwstr/>
  </property>
  <property fmtid="{D5CDD505-2E9C-101B-9397-08002B2CF9AE}" pid="12" name="citation">
    <vt:lpwstr/>
  </property>
  <property fmtid="{D5CDD505-2E9C-101B-9397-08002B2CF9AE}" pid="13" name="csl">
    <vt:lpwstr>../../bibliographien/apa7.csl</vt:lpwstr>
  </property>
  <property fmtid="{D5CDD505-2E9C-101B-9397-08002B2CF9AE}" pid="14" name="date">
    <vt:lpwstr>22.06.2024</vt:lpwstr>
  </property>
  <property fmtid="{D5CDD505-2E9C-101B-9397-08002B2CF9AE}" pid="15" name="date-format">
    <vt:lpwstr>DD.MM.YYYY</vt:lpwstr>
  </property>
  <property fmtid="{D5CDD505-2E9C-101B-9397-08002B2CF9AE}" pid="16" name="draft">
    <vt:lpwstr>False</vt:lpwstr>
  </property>
  <property fmtid="{D5CDD505-2E9C-101B-9397-08002B2CF9AE}" pid="17" name="editor">
    <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mermaid">
    <vt:lpwstr/>
  </property>
  <property fmtid="{D5CDD505-2E9C-101B-9397-08002B2CF9AE}" pid="23" name="subtitle">
    <vt:lpwstr>Mediendidaktik</vt:lpwstr>
  </property>
  <property fmtid="{D5CDD505-2E9C-101B-9397-08002B2CF9AE}" pid="24" name="theme">
    <vt:lpwstr/>
  </property>
  <property fmtid="{D5CDD505-2E9C-101B-9397-08002B2CF9AE}" pid="25" name="toc-title">
    <vt:lpwstr>Inhaltsverzeichnis</vt:lpwstr>
  </property>
</Properties>
</file>