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Forschungsethik</w:t>
      </w:r>
    </w:p>
    <w:p>
      <w:pPr>
        <w:pStyle w:val="Subtitle"/>
      </w:pPr>
      <w:r>
        <w:t xml:space="preserve">Learning</w:t>
      </w:r>
      <w:r>
        <w:t xml:space="preserve"> </w:t>
      </w:r>
      <w:r>
        <w:t xml:space="preserve">Analytics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bookmarkStart w:id="20" w:name="rechtliche-rahmenbedingungen"/>
    <w:p>
      <w:pPr>
        <w:pStyle w:val="Heading1"/>
      </w:pPr>
      <w:r>
        <w:t xml:space="preserve">Rechtliche Rahmenbedingungen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Forschungsethik</dc:title>
  <dc:creator>Richard Conrardy</dc:creator>
  <dc:language>de</dc:language>
  <cp:keywords/>
  <dcterms:created xsi:type="dcterms:W3CDTF">2024-10-31T20:07:08Z</dcterms:created>
  <dcterms:modified xsi:type="dcterms:W3CDTF">2024-10-31T20:07:08Z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sl">
    <vt:lpwstr>../../bibliographien/apa7.csl</vt:lpwstr>
  </property>
  <property fmtid="{D5CDD505-2E9C-101B-9397-08002B2CF9AE}" pid="12" name="date-format">
    <vt:lpwstr>DD.MM.YYYY</vt:lpwstr>
  </property>
  <property fmtid="{D5CDD505-2E9C-101B-9397-08002B2CF9AE}" pid="13" name="draft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mermaid">
    <vt:lpwstr/>
  </property>
  <property fmtid="{D5CDD505-2E9C-101B-9397-08002B2CF9AE}" pid="19" name="subtitle">
    <vt:lpwstr>Learning Analytics</vt:lpwstr>
  </property>
  <property fmtid="{D5CDD505-2E9C-101B-9397-08002B2CF9AE}" pid="20" name="theme">
    <vt:lpwstr/>
  </property>
  <property fmtid="{D5CDD505-2E9C-101B-9397-08002B2CF9AE}" pid="21" name="toc-title">
    <vt:lpwstr>Inhaltsverzeichnis</vt:lpwstr>
  </property>
</Properties>
</file>