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w:t>
      </w:r>
      <w:r>
        <w:t xml:space="preserve"> </w:t>
      </w:r>
      <w:r>
        <w:t xml:space="preserve">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w:t>
      </w:r>
      <w:r>
        <w:t xml:space="preserve">unterrichtsbestimmende Bauelemente</w:t>
      </w:r>
      <w:r>
        <w:t xml:space="preserve">”</w:t>
      </w:r>
      <w:r>
        <w:t xml:space="preserve"> </w:t>
      </w:r>
      <w:r>
        <w:t xml:space="preserve">(Wollring, 2008, S. 9)</w:t>
      </w:r>
      <w:r>
        <w:t xml:space="preserve"> </w:t>
      </w:r>
      <w:r>
        <w:t xml:space="preserve">aufgeteilt. Diese Aufteilung kann sich auf Phasenmodelle stützen:</w:t>
      </w:r>
    </w:p>
    <w:p>
      <w:pPr>
        <w:numPr>
          <w:ilvl w:val="0"/>
          <w:numId w:val="1001"/>
        </w:numPr>
        <w:pStyle w:val="Compact"/>
      </w:pPr>
      <w:r>
        <w:t xml:space="preserve">PADUA:</w:t>
      </w:r>
      <w:r>
        <w:t xml:space="preserve"> </w:t>
      </w:r>
      <w:r>
        <w:t xml:space="preserve">(vgl. Aebli, 1983)</w:t>
      </w:r>
    </w:p>
    <w:p>
      <w:pPr>
        <w:numPr>
          <w:ilvl w:val="0"/>
          <w:numId w:val="1001"/>
        </w:numPr>
        <w:pStyle w:val="Compact"/>
      </w:pPr>
      <w:r>
        <w:t xml:space="preserve">AVIVA:</w:t>
      </w:r>
      <w:r>
        <w:t xml:space="preserve"> </w:t>
      </w:r>
      <w:r>
        <w:t xml:space="preserve">(Städeli &amp; Maurer, 2020)</w:t>
      </w:r>
    </w:p>
    <w:p>
      <w:pPr>
        <w:numPr>
          <w:ilvl w:val="0"/>
          <w:numId w:val="1001"/>
        </w:numPr>
        <w:pStyle w:val="Compact"/>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w:t>
            </w:r>
            <w:r>
              <w:t xml:space="preserve">Planungsarbeit im Fokus</w:t>
            </w:r>
            <w:r>
              <w:t xml:space="preserve">”</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Cs/>
          <w:i/>
        </w:rPr>
        <w:t xml:space="preserve">Lernumgebungen</w:t>
      </w:r>
      <w:r>
        <w:t xml:space="preserve"> </w:t>
      </w:r>
      <w:r>
        <w:t xml:space="preserve">oder</w:t>
      </w:r>
      <w:r>
        <w:t xml:space="preserve"> </w:t>
      </w:r>
      <w:r>
        <w:t xml:space="preserve">“</w:t>
      </w:r>
      <w:r>
        <w:t xml:space="preserve">Arbeitsumgebung</w:t>
      </w:r>
      <w:r>
        <w:t xml:space="preserve">”</w:t>
      </w:r>
      <w:r>
        <w:t xml:space="preserve"> </w:t>
      </w:r>
      <w:r>
        <w:t xml:space="preserve">(Wollring, 2008, S. 9)</w:t>
      </w:r>
      <w:r>
        <w:t xml:space="preserve">. Gewisse Autoren (/Dozierende) setzen diese gleich mit dem Begriff des</w:t>
      </w:r>
      <w:r>
        <w:t xml:space="preserve"> </w:t>
      </w:r>
      <w:r>
        <w:rPr>
          <w:iCs/>
          <w:i/>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Cs/>
          <w:i/>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Cs/>
          <w:i/>
        </w:rPr>
        <w:t xml:space="preserve">one size fits all</w:t>
      </w:r>
      <w:r>
        <w:t xml:space="preserve"> </w:t>
      </w:r>
      <w:r>
        <w:t xml:space="preserve">erstellt werden, sondern eigentlich die Realisierung eines spezifischen Unterrichts entsprechen.</w:t>
      </w:r>
    </w:p>
    <w:p>
      <w:pPr>
        <w:pStyle w:val="Body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w:t>
      </w:r>
      <w:r>
        <w:t xml:space="preserve">flexible grosse Aufgabe</w:t>
      </w:r>
      <w:r>
        <w:t xml:space="preserve">”</w:t>
      </w:r>
      <w:r>
        <w:t xml:space="preserve"> </w:t>
      </w:r>
      <w:r>
        <w:t xml:space="preserve">handelt. Diese wiederum besteht aus einem</w:t>
      </w:r>
      <w:r>
        <w:t xml:space="preserve"> </w:t>
      </w:r>
      <w:r>
        <w:t xml:space="preserve">“</w:t>
      </w:r>
      <w:r>
        <w:t xml:space="preserve">Netzwerk kleinerer Aufgaben</w:t>
      </w:r>
      <w:r>
        <w:t xml:space="preserve">”</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Cs/>
                <w:i/>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numPr>
          <w:ilvl w:val="0"/>
          <w:numId w:val="1002"/>
        </w:numPr>
        <w:pStyle w:val="Compact"/>
      </w:pPr>
      <w:r>
        <w:t xml:space="preserve">Lernziele,</w:t>
      </w:r>
      <w:r>
        <w:t xml:space="preserve"> </w:t>
      </w:r>
      <w:r>
        <w:t xml:space="preserve">“</w:t>
      </w:r>
      <w:r>
        <w:t xml:space="preserve">Was würde ich gerne meine Schüler erreichen lassen?</w:t>
      </w:r>
      <w:r>
        <w:t xml:space="preserve">”</w:t>
      </w:r>
    </w:p>
    <w:p>
      <w:pPr>
        <w:numPr>
          <w:ilvl w:val="0"/>
          <w:numId w:val="1002"/>
        </w:numPr>
        <w:pStyle w:val="Compact"/>
      </w:pPr>
      <w:r>
        <w:t xml:space="preserve">Anfangszustand,</w:t>
      </w:r>
      <w:r>
        <w:t xml:space="preserve"> </w:t>
      </w:r>
      <w:r>
        <w:t xml:space="preserve">“</w:t>
      </w:r>
      <w:r>
        <w:t xml:space="preserve">Wo können meine Schüler anfangen?</w:t>
      </w:r>
      <w:r>
        <w:t xml:space="preserve">”</w:t>
      </w:r>
    </w:p>
    <w:p>
      <w:pPr>
        <w:numPr>
          <w:ilvl w:val="0"/>
          <w:numId w:val="1002"/>
        </w:numPr>
        <w:pStyle w:val="Compact"/>
      </w:pPr>
      <w:r>
        <w:t xml:space="preserve">Unterrichtssituation,</w:t>
      </w:r>
      <w:r>
        <w:t xml:space="preserve"> </w:t>
      </w:r>
      <w:r>
        <w:t xml:space="preserve">“</w:t>
      </w:r>
      <w:r>
        <w:t xml:space="preserve">Wie kann ich Lerninhalte vermitteln und wie können meine Schüler sie lernen?</w:t>
      </w:r>
      <w:r>
        <w:t xml:space="preserve">”</w:t>
      </w:r>
    </w:p>
    <w:p>
      <w:pPr>
        <w:numPr>
          <w:ilvl w:val="0"/>
          <w:numId w:val="1002"/>
        </w:numPr>
        <w:pStyle w:val="Compact"/>
      </w:pPr>
      <w:r>
        <w:t xml:space="preserve">Auswertung,</w:t>
      </w:r>
      <w:r>
        <w:t xml:space="preserve"> </w:t>
      </w:r>
      <w:r>
        <w:t xml:space="preserve">“</w:t>
      </w:r>
      <w:r>
        <w:t xml:space="preserve">Wie ermittelt man den Lehrerfolg?</w:t>
      </w:r>
      <w:r>
        <w:t xml:space="preserve">”</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Cs/>
          <w:i/>
        </w:rPr>
        <w:t xml:space="preserve">constructive alignment</w:t>
      </w:r>
      <w:r>
        <w:t xml:space="preserve"> </w:t>
      </w:r>
      <w:r>
        <w:t xml:space="preserve">von</w:t>
      </w:r>
      <w:r>
        <w:t xml:space="preserve"> </w:t>
      </w:r>
      <w:r>
        <w:t xml:space="preserve">Biggs (1996)</w:t>
      </w:r>
      <w:r>
        <w:t xml:space="preserve"> </w:t>
      </w:r>
      <w:r>
        <w:t xml:space="preserve">.</w:t>
      </w:r>
    </w:p>
    <w:p>
      <w:pPr>
        <w:numPr>
          <w:ilvl w:val="0"/>
          <w:numId w:val="1003"/>
        </w:numPr>
        <w:pStyle w:val="Compact"/>
      </w:pPr>
      <w:r>
        <w:t xml:space="preserve">teachers need to be clear about what they want their students to learn, and how they would manifest that learning in terms of</w:t>
      </w:r>
      <w:r>
        <w:t xml:space="preserve"> </w:t>
      </w:r>
      <w:r>
        <w:t xml:space="preserve">“</w:t>
      </w:r>
      <w:r>
        <w:t xml:space="preserve">performances of understanding</w:t>
      </w:r>
      <w:r>
        <w:t xml:space="preserve">”</w:t>
      </w:r>
      <w:r>
        <w:t xml:space="preserve">. For .example, memorising and paraphrasing are not performances of understanding, recognising an application in a novel context is.</w:t>
      </w:r>
    </w:p>
    <w:p>
      <w:pPr>
        <w:numPr>
          <w:ilvl w:val="0"/>
          <w:numId w:val="1003"/>
        </w:numPr>
        <w:pStyle w:val="Compact"/>
      </w:pPr>
      <w:r>
        <w:t xml:space="preserve">the performance objectives thus emerging need to be arranged in a hierarchy from most acceptable to barely satisfactory, which hierarchy becomes the grading system.</w:t>
      </w:r>
    </w:p>
    <w:p>
      <w:pPr>
        <w:numPr>
          <w:ilvl w:val="0"/>
          <w:numId w:val="1003"/>
        </w:numPr>
        <w:pStyle w:val="Compact"/>
      </w:pPr>
      <w:r>
        <w:t xml:space="preserve">students need to be placed in situations that are judged likely to elicit the required learnings.</w:t>
      </w:r>
    </w:p>
    <w:p>
      <w:pPr>
        <w:numPr>
          <w:ilvl w:val="0"/>
          <w:numId w:val="1003"/>
        </w:numPr>
        <w:pStyle w:val="Compact"/>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numPr>
          <w:ilvl w:val="0"/>
          <w:numId w:val="1004"/>
        </w:numPr>
        <w:pStyle w:val="Compact"/>
      </w:pPr>
      <w:r>
        <w:t xml:space="preserve">Gegenstand und Sinn, Fach-Sinn und Werk-Sinn</w:t>
      </w:r>
    </w:p>
    <w:p>
      <w:pPr>
        <w:numPr>
          <w:ilvl w:val="0"/>
          <w:numId w:val="1004"/>
        </w:numPr>
        <w:pStyle w:val="Compact"/>
      </w:pPr>
      <w:r>
        <w:t xml:space="preserve">Artikulation, Kommunikation, Soziale Organisation</w:t>
      </w:r>
    </w:p>
    <w:p>
      <w:pPr>
        <w:numPr>
          <w:ilvl w:val="0"/>
          <w:numId w:val="1004"/>
        </w:numPr>
        <w:pStyle w:val="Compact"/>
      </w:pPr>
      <w:r>
        <w:t xml:space="preserve">Differenzieren</w:t>
      </w:r>
    </w:p>
    <w:p>
      <w:pPr>
        <w:numPr>
          <w:ilvl w:val="0"/>
          <w:numId w:val="1004"/>
        </w:numPr>
        <w:pStyle w:val="Compact"/>
      </w:pPr>
      <w:r>
        <w:t xml:space="preserve">Logistik</w:t>
      </w:r>
    </w:p>
    <w:p>
      <w:pPr>
        <w:numPr>
          <w:ilvl w:val="0"/>
          <w:numId w:val="1004"/>
        </w:numPr>
        <w:pStyle w:val="Compact"/>
      </w:pPr>
      <w:r>
        <w:t xml:space="preserve">Evaluation</w:t>
      </w:r>
    </w:p>
    <w:p>
      <w:pPr>
        <w:numPr>
          <w:ilvl w:val="0"/>
          <w:numId w:val="1004"/>
        </w:numPr>
        <w:pStyle w:val="Compact"/>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w:t>
      </w:r>
      <w:r>
        <w:t xml:space="preserve">technologische Position</w:t>
      </w:r>
      <w:r>
        <w:t xml:space="preserve">”</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Cs/>
          <w:i/>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Cs/>
          <w:i/>
        </w:rPr>
        <w:t xml:space="preserve">Higher Education</w:t>
      </w:r>
      <w:r>
        <w:t xml:space="preserve">,</w:t>
      </w:r>
      <w:r>
        <w:t xml:space="preserve"> </w:t>
      </w:r>
      <w:r>
        <w:rPr>
          <w:iCs/>
          <w:i/>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Cs/>
          <w:i/>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Cs/>
          <w:i/>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Cs/>
          <w:i/>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Cs/>
          <w:i/>
        </w:rPr>
        <w:t xml:space="preserve">The</w:t>
      </w:r>
      <w:r>
        <w:rPr>
          <w:iCs/>
          <w:i/>
        </w:rPr>
        <w:t xml:space="preserve"> </w:t>
      </w:r>
      <w:r>
        <w:rPr>
          <w:iCs/>
          <w:i/>
        </w:rPr>
        <w:t xml:space="preserve">AVIVA</w:t>
      </w:r>
      <w:r>
        <w:rPr>
          <w:iCs/>
          <w:i/>
        </w:rPr>
        <w:t xml:space="preserve"> </w:t>
      </w:r>
      <w:r>
        <w:rPr>
          <w:iCs/>
          <w:i/>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Cs/>
          <w:i/>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Cs/>
          <w:i/>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2024-10-31T20:06:50Z</dcterms:created>
  <dcterms:modified xsi:type="dcterms:W3CDTF">2024-10-31T20:06:50Z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