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Gleichungen</w:t>
      </w:r>
    </w:p>
    <w:p>
      <w:pPr>
        <w:pStyle w:val="Subtitle"/>
      </w:pPr>
      <w:r>
        <w:t xml:space="preserve">Einführung</w:t>
      </w:r>
      <w:r>
        <w:t xml:space="preserve"> </w:t>
      </w:r>
      <w:r>
        <w:t xml:space="preserve">und</w:t>
      </w:r>
      <w:r>
        <w:t xml:space="preserve"> </w:t>
      </w:r>
      <w:r>
        <w:t xml:space="preserve">Theorie</w:t>
      </w:r>
    </w:p>
    <w:p>
      <w:pPr>
        <w:pStyle w:val="Author"/>
      </w:pPr>
      <w:r>
        <w:t xml:space="preserve">Richard</w:t>
      </w:r>
      <w:r>
        <w:t xml:space="preserve"> </w:t>
      </w:r>
      <w:r>
        <w:t xml:space="preserve">Conrardy</w:t>
      </w:r>
    </w:p>
    <w:p>
      <w:pPr>
        <w:pStyle w:val="Date"/>
      </w:pPr>
      <w:r>
        <w:t xml:space="preserve">22.09.2024</w:t>
      </w:r>
    </w:p>
    <w:p>
      <w:pPr>
        <w:pStyle w:val="AbstractTitle"/>
      </w:pPr>
      <w:r>
        <w:t xml:space="preserve">Zusammenfassung</w:t>
      </w:r>
    </w:p>
    <w:p>
      <w:pPr>
        <w:pStyle w:val="Abstract"/>
      </w:pPr>
      <w:r>
        <w:t xml:space="preserve">Eine</w:t>
      </w:r>
      <w:r>
        <w:t xml:space="preserve"> </w:t>
      </w:r>
      <w:r>
        <w:t xml:space="preserve">Doppellektion</w:t>
      </w:r>
      <w:r>
        <w:t xml:space="preserve"> </w:t>
      </w:r>
      <w:r>
        <w:t xml:space="preserve">zur</w:t>
      </w:r>
      <w:r>
        <w:t xml:space="preserve"> </w:t>
      </w:r>
      <w:r>
        <w:t xml:space="preserve">Einführung</w:t>
      </w:r>
      <w:r>
        <w:t xml:space="preserve"> </w:t>
      </w:r>
      <w:r>
        <w:t xml:space="preserve">in</w:t>
      </w:r>
      <w:r>
        <w:t xml:space="preserve"> </w:t>
      </w:r>
      <w:r>
        <w:t xml:space="preserve">Gleichungen</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"1-3" \h \z \u</w:instrText>
            <w:fldChar w:fldCharType="separate"/>
            <w:fldChar w:fldCharType="end"/>
          </w:r>
        </w:p>
      </w:sdtContent>
    </w:sdt>
    <w:bookmarkStart w:id="20" w:name="section"/>
    <w:p>
      <w:pPr>
        <w:pStyle w:val="Heading1"/>
      </w:pPr>
    </w:p>
    <w:bookmarkEnd w:id="20"/>
    <w:bookmarkStart w:id="24" w:name="lehrerkommentar"/>
    <w:p>
      <w:pPr>
        <w:pStyle w:val="Heading1"/>
      </w:pPr>
      <w:r>
        <w:t xml:space="preserve">Lehrerkommentar</w:t>
      </w:r>
    </w:p>
    <w:p>
      <w:pPr>
        <w:pStyle w:val="FirstParagraph"/>
      </w:pPr>
      <w:hyperlink r:id="rId21">
        <w:r>
          <w:rPr>
            <w:rStyle w:val="Hyperlink"/>
          </w:rPr>
          <w:t xml:space="preserve">MA.1.A.4.i</w:t>
        </w:r>
      </w:hyperlink>
      <w:r>
        <w:t xml:space="preserve"> </w:t>
      </w:r>
      <w:r>
        <w:t xml:space="preserve">können ein Produkt mit gleichen Faktoren als Potenz schreiben und umgekehrt (z.B.</w:t>
      </w:r>
      <w:r>
        <w:t xml:space="preserve"> </w:t>
      </w:r>
      <m:oMath>
        <m:r>
          <m:t>15</m:t>
        </m:r>
        <m:r>
          <m:rPr>
            <m:sty m:val="p"/>
          </m:rPr>
          <m:t>⋅</m:t>
        </m:r>
        <m:r>
          <m:t>15</m:t>
        </m:r>
        <m:r>
          <m:rPr>
            <m:sty m:val="p"/>
          </m:rPr>
          <m:t>⋅</m:t>
        </m:r>
        <m:r>
          <m:t>15</m:t>
        </m:r>
        <m:r>
          <m:rPr>
            <m:sty m:val="p"/>
          </m:rPr>
          <m:t>=</m:t>
        </m:r>
        <m:sSup>
          <m:e>
            <m:r>
              <m:t>15</m:t>
            </m:r>
          </m:e>
          <m:sup>
            <m:r>
              <m:t>3</m:t>
            </m:r>
          </m:sup>
        </m:sSup>
      </m:oMath>
      <w:r>
        <w:t xml:space="preserve"> </w:t>
      </w:r>
      <w:r>
        <w:t xml:space="preserve">;</w:t>
      </w:r>
      <w:r>
        <w:t xml:space="preserve"> </w:t>
      </w:r>
      <m:oMath>
        <m:r>
          <m:t>a</m:t>
        </m:r>
        <m:r>
          <m:rPr>
            <m:sty m:val="p"/>
          </m:rPr>
          <m:t>⋅</m:t>
        </m:r>
        <m:r>
          <m:t>a</m:t>
        </m:r>
        <m:r>
          <m:rPr>
            <m:sty m:val="p"/>
          </m:rPr>
          <m:t>⋅</m:t>
        </m:r>
        <m:r>
          <m:t>a</m:t>
        </m:r>
        <m:r>
          <m:rPr>
            <m:sty m:val="p"/>
          </m:rPr>
          <m:t>⋅</m:t>
        </m:r>
        <m:r>
          <m:t>a</m:t>
        </m:r>
        <m:r>
          <m:rPr>
            <m:sty m:val="p"/>
          </m:rPr>
          <m:t>=</m:t>
        </m:r>
        <m:sSup>
          <m:e>
            <m:r>
              <m:t>a</m:t>
            </m:r>
          </m:e>
          <m:sup>
            <m:r>
              <m:t>4</m:t>
            </m:r>
          </m:sup>
        </m:sSup>
      </m:oMath>
      <w:r>
        <w:t xml:space="preserve"> </w:t>
      </w:r>
      <w:r>
        <w:t xml:space="preserve">).</w:t>
      </w:r>
    </w:p>
    <w:p>
      <w:pPr>
        <w:pStyle w:val="BodyText"/>
      </w:pPr>
      <w:hyperlink r:id="rId22">
        <w:r>
          <w:rPr>
            <w:rStyle w:val="Hyperlink"/>
          </w:rPr>
          <w:t xml:space="preserve">MA.1.A.4.j</w:t>
        </w:r>
      </w:hyperlink>
      <w:r>
        <w:t xml:space="preserve"> </w:t>
      </w:r>
      <w:r>
        <w:t xml:space="preserve">Erweiterung: können lineare Gleichungen mit einer Variablen mit Äquivalenzumformungen lösen (z.B.</w:t>
      </w:r>
      <w:r>
        <w:t xml:space="preserve"> </w:t>
      </w:r>
      <m:oMath>
        <m:r>
          <m:t>5</m:t>
        </m:r>
        <m:r>
          <m:t>x</m:t>
        </m:r>
        <m:r>
          <m:rPr>
            <m:sty m:val="p"/>
          </m:rPr>
          <m:t>+</m:t>
        </m:r>
        <m:r>
          <m:t>3</m:t>
        </m:r>
        <m:r>
          <m:rPr>
            <m:sty m:val="p"/>
          </m:rPr>
          <m:t>=</m:t>
        </m:r>
        <m:r>
          <m:t>7</m:t>
        </m:r>
      </m:oMath>
      <w:r>
        <w:t xml:space="preserve">)</w:t>
      </w:r>
      <w:r>
        <w:t xml:space="preserve"> </w:t>
      </w:r>
      <w:hyperlink r:id="rId23">
        <w:r>
          <w:rPr>
            <w:rStyle w:val="Hyperlink"/>
          </w:rPr>
          <w:t xml:space="preserve">MA.3.c.3.g</w:t>
        </w:r>
      </w:hyperlink>
      <w:r>
        <w:t xml:space="preserve"> </w:t>
      </w:r>
      <w:r>
        <w:t xml:space="preserve">Erweiterung: können Buchstabenterme, Formeln und lineare Funktionsgleichungen mit Sachsituationen konkretisieren (z.B. die Funktionsgleichung y = 2x + 3 mit Preis = 2 · Anzahl + 3).</w:t>
      </w:r>
    </w:p>
    <w:bookmarkEnd w:id="24"/>
    <w:bookmarkStart w:id="36" w:name="lehrpersonenkommentar"/>
    <w:p>
      <w:pPr>
        <w:pStyle w:val="Heading1"/>
      </w:pPr>
      <w:r>
        <w:t xml:space="preserve">Lehrpersonenkommentar</w:t>
      </w:r>
    </w:p>
    <w:p>
      <w:pPr>
        <w:pStyle w:val="FirstParagraph"/>
      </w:pPr>
      <w:r>
        <w:t xml:space="preserve">Die vorliegende Lernumgebung dient als Einführung und erste Annäherung an das Thema «Gleichungen» für 7. Klässler im ersten Semester. Die beigelegte Lektionsplanung ist für etwa 3-4 Lektionen ausgelegt.</w:t>
      </w:r>
    </w:p>
    <w:bookmarkStart w:id="25" w:name="vorangehende-kompetenzen"/>
    <w:p>
      <w:pPr>
        <w:pStyle w:val="Heading2"/>
      </w:pPr>
      <w:r>
        <w:t xml:space="preserve">Vorangehende Kompetenzen</w:t>
      </w:r>
    </w:p>
    <w:p>
      <w:pPr>
        <w:pStyle w:val="FirstParagraph"/>
      </w:pPr>
      <w:r>
        <w:t xml:space="preserve">Folgende</w:t>
      </w:r>
      <w:r>
        <w:t xml:space="preserve"> </w:t>
      </w:r>
      <w:r>
        <w:rPr>
          <w:b/>
          <w:bCs/>
        </w:rPr>
        <w:t xml:space="preserve">vorangehende Kompetenzen</w:t>
      </w:r>
      <w:r>
        <w:t xml:space="preserve"> </w:t>
      </w:r>
      <w:r>
        <w:t xml:space="preserve">sollten die SuS behandelt haben:</w:t>
      </w:r>
    </w:p>
    <w:p>
      <w:pPr>
        <w:pStyle w:val="Compact"/>
        <w:numPr>
          <w:ilvl w:val="0"/>
          <w:numId w:val="1001"/>
        </w:numPr>
      </w:pPr>
      <w:r>
        <w:t xml:space="preserve">Die SuS wissen, was eine Variable ist und sie kennen die einfachen Term-Vereinfachungsregeln (Bspw.:</w:t>
      </w:r>
      <w:r>
        <w:t xml:space="preserve"> </w:t>
      </w:r>
      <m:oMath>
        <m:r>
          <m:t>x</m:t>
        </m:r>
        <m:r>
          <m:rPr>
            <m:sty m:val="p"/>
          </m:rPr>
          <m:t>+</m:t>
        </m:r>
        <m:r>
          <m:t>2</m:t>
        </m:r>
        <m:r>
          <m:t>x</m:t>
        </m:r>
        <m:r>
          <m:rPr>
            <m:sty m:val="p"/>
          </m:rPr>
          <m:t>=</m:t>
        </m:r>
        <m:r>
          <m:t>3</m:t>
        </m:r>
        <m:r>
          <m:t>x</m:t>
        </m:r>
      </m:oMath>
      <w:r>
        <w:t xml:space="preserve">).</w:t>
      </w:r>
    </w:p>
    <w:p>
      <w:pPr>
        <w:pStyle w:val="Compact"/>
        <w:numPr>
          <w:ilvl w:val="0"/>
          <w:numId w:val="1001"/>
        </w:numPr>
      </w:pPr>
      <w:r>
        <w:t xml:space="preserve">Die SuS beherrschen die Grundoperationen.</w:t>
      </w:r>
    </w:p>
    <w:bookmarkEnd w:id="25"/>
    <w:bookmarkStart w:id="26" w:name="grundlegende-stolpersteine"/>
    <w:p>
      <w:pPr>
        <w:pStyle w:val="Heading2"/>
      </w:pPr>
      <w:r>
        <w:t xml:space="preserve">Grundlegende Stolpersteine</w:t>
      </w:r>
    </w:p>
    <w:p>
      <w:pPr>
        <w:pStyle w:val="FirstParagraph"/>
      </w:pPr>
      <w:r>
        <w:t xml:space="preserve">Weiter sind die folgenden grundlegenden</w:t>
      </w:r>
      <w:r>
        <w:t xml:space="preserve"> </w:t>
      </w:r>
      <w:r>
        <w:rPr>
          <w:b/>
          <w:bCs/>
        </w:rPr>
        <w:t xml:space="preserve">Stolpersteine</w:t>
      </w:r>
      <w:r>
        <w:t xml:space="preserve"> </w:t>
      </w:r>
      <w:r>
        <w:t xml:space="preserve">zu beachten:</w:t>
      </w:r>
    </w:p>
    <w:p>
      <w:pPr>
        <w:pStyle w:val="Compact"/>
        <w:numPr>
          <w:ilvl w:val="0"/>
          <w:numId w:val="1002"/>
        </w:numPr>
      </w:pPr>
      <w:r>
        <w:t xml:space="preserve">Die SuS kennen die Rechenregeln von ganzen und rationalen Zahlen noch nicht. Die Lösungen und die in den Aufgaben gebrauchten Zahlen sind also immer rein natürliche Zahlen. Folgendes Beispiel ist dementsprechend nicht Inhalt der LU:</w:t>
      </w:r>
    </w:p>
    <w:tbl>
      <w:tblPr>
        <w:tblStyle w:val="FigureTable"/>
        <w:tblW w:type="auto" w:w="0"/>
        <w:jc w:val="center"/>
        <w:tblLook w:firstRow="0" w:lastRow="0" w:firstColumn="0" w:lastColumn="0"/>
      </w:tblPr>
      <w:tblGrid>
        <w:gridCol w:w="7920"/>
      </w:tblGrid>
      <w:tr>
        <w:tc>
          <w:tcPr/>
          <w:p>
            <w:pPr>
              <w:pStyle w:val="Compact"/>
              <w:jc w:val="center"/>
            </w:pPr>
            <w:r>
              <w:t xml:space="preserve">Bild</w:t>
            </w:r>
          </w:p>
        </w:tc>
      </w:tr>
    </w:tbl>
    <w:p>
      <w:pPr>
        <w:pStyle w:val="ImageCaption"/>
      </w:pPr>
      <w:r>
        <w:t xml:space="preserve">Bild</w:t>
      </w:r>
    </w:p>
    <w:p>
      <w:pPr>
        <w:pStyle w:val="Compact"/>
        <w:numPr>
          <w:ilvl w:val="0"/>
          <w:numId w:val="1003"/>
        </w:numPr>
      </w:pPr>
      <w:r>
        <w:t xml:space="preserve">Die SuS können Gleichungen noch nicht umstellen. Die Variable</w:t>
      </w:r>
      <w:r>
        <w:t xml:space="preserve"> </w:t>
      </w:r>
      <m:oMath>
        <m:r>
          <m:t>x</m:t>
        </m:r>
      </m:oMath>
      <w:r>
        <w:t xml:space="preserve"> </w:t>
      </w:r>
      <w:r>
        <w:t xml:space="preserve">wird durch reines Einsetzen und Kopfrechnen ermittelt.</w:t>
      </w:r>
    </w:p>
    <w:p>
      <w:pPr>
        <w:pStyle w:val="Compact"/>
        <w:numPr>
          <w:ilvl w:val="0"/>
          <w:numId w:val="1003"/>
        </w:numPr>
      </w:pPr>
      <w:r>
        <w:t xml:space="preserve">Die SuS haben noch kein oder ein falsches Verständnis dafür, was das Gleichheitszeichen bedeutet. In der Primarstufe wird oftmals gesagt</w:t>
      </w:r>
      <w:r>
        <w:t xml:space="preserve"> </w:t>
      </w:r>
      <w:r>
        <w:t xml:space="preserve">“</w:t>
      </w:r>
      <w:r>
        <w:t xml:space="preserve">eins und eins gibt zwei</w:t>
      </w:r>
      <w:r>
        <w:t xml:space="preserve">”</w:t>
      </w:r>
      <w:r>
        <w:t xml:space="preserve">. Daraus könnte sich das Fehlkonzept entwickeln, dass</w:t>
      </w:r>
      <w:r>
        <w:t xml:space="preserve"> </w:t>
      </w:r>
      <m:oMath>
        <m:r>
          <m:t>1</m:t>
        </m:r>
        <m:r>
          <m:rPr>
            <m:sty m:val="p"/>
          </m:rPr>
          <m:t>+</m:t>
        </m:r>
        <m:r>
          <m:t>1</m:t>
        </m:r>
      </m:oMath>
      <w:r>
        <w:t xml:space="preserve"> </w:t>
      </w:r>
      <w:r>
        <w:t xml:space="preserve">irgendwie zu</w:t>
      </w:r>
      <w:r>
        <w:t xml:space="preserve"> </w:t>
      </w:r>
      <m:oMath>
        <m:r>
          <m:t>2</m:t>
        </m:r>
      </m:oMath>
      <w:r>
        <w:t xml:space="preserve"> </w:t>
      </w:r>
      <w:r>
        <w:t xml:space="preserve">führt. Das Verständnis dafür, dass beide Terme auf der linken und rechten Seite des Gleichheitszeichens ausgewertet gleich groß sein müssen, wäre dementsprechend nicht vorhanden.</w:t>
      </w:r>
    </w:p>
    <w:p>
      <w:pPr>
        <w:pStyle w:val="Compact"/>
        <w:numPr>
          <w:ilvl w:val="0"/>
          <w:numId w:val="1003"/>
        </w:numPr>
      </w:pPr>
      <w:r>
        <w:t xml:space="preserve">Termumformungen sind in dieser LU kein Thema.</w:t>
      </w:r>
    </w:p>
    <w:bookmarkEnd w:id="26"/>
    <w:bookmarkStart w:id="27" w:name="lernziele"/>
    <w:p>
      <w:pPr>
        <w:pStyle w:val="Heading2"/>
      </w:pPr>
      <w:r>
        <w:t xml:space="preserve">Lernziele</w:t>
      </w:r>
    </w:p>
    <w:p>
      <w:pPr>
        <w:pStyle w:val="FirstParagraph"/>
      </w:pPr>
      <w:r>
        <w:t xml:space="preserve">In dieser Lernumgebung werden folgende Lernziele angepeilt:</w:t>
      </w:r>
    </w:p>
    <w:p>
      <w:pPr>
        <w:numPr>
          <w:ilvl w:val="0"/>
          <w:numId w:val="1004"/>
        </w:numPr>
      </w:pPr>
      <w:r>
        <w:t xml:space="preserve">Die SuS können einfache Gleichungen mit einer Variable durch reines Einsetzen und Kopfrechnen ermitteln.</w:t>
      </w:r>
    </w:p>
    <w:p>
      <w:pPr>
        <w:numPr>
          <w:ilvl w:val="0"/>
          <w:numId w:val="1004"/>
        </w:numPr>
      </w:pPr>
      <w:r>
        <w:t xml:space="preserve">Die SuS können Gleichungen ausgehend von Texten aufschreiben.</w:t>
      </w:r>
    </w:p>
    <w:p>
      <w:pPr>
        <w:numPr>
          <w:ilvl w:val="0"/>
          <w:numId w:val="1004"/>
        </w:numPr>
      </w:pPr>
      <w:r>
        <w:t xml:space="preserve">Die SuS füllen Wertetabellen für Gleichungen mit 2 Variablen korrekt aus.</w:t>
      </w:r>
    </w:p>
    <w:p>
      <w:pPr>
        <w:numPr>
          <w:ilvl w:val="0"/>
          <w:numId w:val="1004"/>
        </w:numPr>
      </w:pPr>
      <w:r>
        <w:t xml:space="preserve">Die Schüler erstellen keine</w:t>
      </w:r>
      <w:r>
        <w:t xml:space="preserve"> </w:t>
      </w:r>
      <w:r>
        <w:t xml:space="preserve">“</w:t>
      </w:r>
      <w:r>
        <w:t xml:space="preserve">Gleichheitsketten</w:t>
      </w:r>
      <w:r>
        <w:t xml:space="preserve">”</w:t>
      </w:r>
      <w:r>
        <w:t xml:space="preserve"> </w:t>
      </w:r>
      <w:r>
        <w:t xml:space="preserve">und verwenden das Äquivalenzzeichen korrekt. Bsp:</w:t>
      </w:r>
    </w:p>
    <w:p>
      <w:pPr>
        <w:numPr>
          <w:ilvl w:val="0"/>
          <w:numId w:val="1000"/>
        </w:numPr>
      </w:pPr>
      <m:oMath>
        <m:r>
          <m:t>3</m:t>
        </m:r>
        <m:r>
          <m:t>x</m:t>
        </m:r>
        <m:r>
          <m:rPr>
            <m:sty m:val="p"/>
          </m:rPr>
          <m:t>+</m:t>
        </m:r>
        <m:r>
          <m:t>1</m:t>
        </m:r>
        <m:r>
          <m:rPr>
            <m:sty m:val="p"/>
          </m:rPr>
          <m:t>=</m:t>
        </m:r>
        <m:r>
          <m:t>10</m:t>
        </m:r>
        <m:r>
          <m:rPr>
            <m:sty m:val="p"/>
          </m:rPr>
          <m:t>↔</m:t>
        </m:r>
        <m:r>
          <m:t>x</m:t>
        </m:r>
        <m:r>
          <m:rPr>
            <m:sty m:val="p"/>
          </m:rPr>
          <m:t>=</m:t>
        </m:r>
        <m:r>
          <m:t>3</m:t>
        </m:r>
      </m:oMath>
    </w:p>
    <w:p>
      <w:pPr>
        <w:numPr>
          <w:ilvl w:val="0"/>
          <w:numId w:val="1000"/>
        </w:numPr>
      </w:pPr>
      <w:r>
        <w:t xml:space="preserve">und nicht</w:t>
      </w:r>
    </w:p>
    <w:p>
      <w:pPr>
        <w:numPr>
          <w:ilvl w:val="0"/>
          <w:numId w:val="1000"/>
        </w:numPr>
      </w:pPr>
      <m:oMath>
        <m:r>
          <m:t>3</m:t>
        </m:r>
        <m:r>
          <m:t>x</m:t>
        </m:r>
        <m:r>
          <m:rPr>
            <m:sty m:val="p"/>
          </m:rPr>
          <m:t>+</m:t>
        </m:r>
        <m:r>
          <m:t>1</m:t>
        </m:r>
        <m:r>
          <m:rPr>
            <m:sty m:val="p"/>
          </m:rPr>
          <m:t>=</m:t>
        </m:r>
        <m:r>
          <m:t>10</m:t>
        </m:r>
        <m:r>
          <m:rPr>
            <m:sty m:val="p"/>
          </m:rPr>
          <m:t>=</m:t>
        </m:r>
        <m:r>
          <m:t>x</m:t>
        </m:r>
        <m:r>
          <m:rPr>
            <m:sty m:val="p"/>
          </m:rPr>
          <m:t>=</m:t>
        </m:r>
        <m:r>
          <m:t>3</m:t>
        </m:r>
      </m:oMath>
    </w:p>
    <w:bookmarkEnd w:id="27"/>
    <w:bookmarkStart w:id="30" w:name="arbeitsunterlagen-für-sus"/>
    <w:p>
      <w:pPr>
        <w:pStyle w:val="Heading2"/>
      </w:pPr>
      <w:r>
        <w:t xml:space="preserve">Arbeitsunterlagen für SuS</w:t>
      </w:r>
    </w:p>
    <w:p>
      <w:pPr>
        <w:pStyle w:val="Compact"/>
        <w:numPr>
          <w:ilvl w:val="0"/>
          <w:numId w:val="1005"/>
        </w:numPr>
      </w:pPr>
      <w:r>
        <w:t xml:space="preserve">Da das Thema</w:t>
      </w:r>
      <w:r>
        <w:t xml:space="preserve"> </w:t>
      </w:r>
      <w:r>
        <w:t xml:space="preserve">“</w:t>
      </w:r>
      <w:r>
        <w:t xml:space="preserve">Gleichungen</w:t>
      </w:r>
      <w:r>
        <w:t xml:space="preserve">”</w:t>
      </w:r>
      <w:r>
        <w:t xml:space="preserve"> </w:t>
      </w:r>
      <w:r>
        <w:t xml:space="preserve">erst eingeführt wird, haben die Übungen nicht sehr viel Anwendungscharakter.</w:t>
      </w:r>
    </w:p>
    <w:p>
      <w:pPr>
        <w:pStyle w:val="Compact"/>
        <w:numPr>
          <w:ilvl w:val="0"/>
          <w:numId w:val="1005"/>
        </w:numPr>
      </w:pPr>
      <w:r>
        <w:t xml:space="preserve">Die Aufgabenstellungen sind nicht sehr differenziert, sie sollten aber in allen Klassen für die Erarbeitung der Grundlagen hilfreich sein. Bei sehr heterogenen Klassen müssen allenfalls zusätzliche Arbeitsunterlagen den Bedürfnissen entsprechend angeschafft werden.</w:t>
      </w:r>
    </w:p>
    <w:p>
      <w:pPr>
        <w:pStyle w:val="Compact"/>
        <w:numPr>
          <w:ilvl w:val="0"/>
          <w:numId w:val="1005"/>
        </w:numPr>
      </w:pPr>
      <w:r>
        <w:t xml:space="preserve">Das AB1 ist relativ repetitiv. Es muss nicht das gesamte AB gelöst werden, bevor die SuS zu Übung 2 übergehen.</w:t>
      </w:r>
    </w:p>
    <w:p>
      <w:pPr>
        <w:pStyle w:val="Compact"/>
        <w:numPr>
          <w:ilvl w:val="0"/>
          <w:numId w:val="1005"/>
        </w:numPr>
      </w:pPr>
      <w:r>
        <w:t xml:space="preserve">Die Übung 3 ist grundsätzlich nach der Einführung zu den Wertetabellen zu bearbeiten. Nach eigenem Ermessen dürfen die SuS auch noch an den vorherigen Aufträgen weitermachen.</w:t>
      </w:r>
    </w:p>
    <w:p>
      <w:pPr>
        <w:pStyle w:val="Compact"/>
        <w:numPr>
          <w:ilvl w:val="0"/>
          <w:numId w:val="1005"/>
        </w:numPr>
      </w:pPr>
      <w:r>
        <w:t xml:space="preserve">Die unten aufgeführten .html Dateien orientieren sich an der Aufgabenstellung des AB1 (</w:t>
      </w:r>
      <m:oMath>
        <m:r>
          <m:t>x</m:t>
        </m:r>
      </m:oMath>
      <w:r>
        <w:t xml:space="preserve"> </w:t>
      </w:r>
      <w:r>
        <w:t xml:space="preserve">herausfinden) und an den ersten 5 Wertetabellen-Aufgaben (Wertetabellen_Generator).</w:t>
      </w:r>
    </w:p>
    <w:bookmarkStart w:id="28" w:name="zusatzaufgaben-für-schnelle-sus"/>
    <w:p>
      <w:pPr>
        <w:pStyle w:val="Heading3"/>
      </w:pPr>
      <w:r>
        <w:t xml:space="preserve">Zusatzaufgaben für schnelle SuS:</w:t>
      </w:r>
    </w:p>
    <w:p>
      <w:pPr>
        <w:pStyle w:val="Compact"/>
        <w:numPr>
          <w:ilvl w:val="0"/>
          <w:numId w:val="1006"/>
        </w:numPr>
      </w:pPr>
      <w:r>
        <w:t xml:space="preserve">Erstelle eigene Textaufgaben (siehe Übung 2).</w:t>
      </w:r>
    </w:p>
    <w:p>
      <w:pPr>
        <w:pStyle w:val="Compact"/>
        <w:numPr>
          <w:ilvl w:val="0"/>
          <w:numId w:val="1006"/>
        </w:numPr>
      </w:pPr>
      <w:r>
        <w:t xml:space="preserve">Erstelle einen Merkhefteintrag, wo die wichtigsten theoretischen Inhalte festgehalten werden.</w:t>
      </w:r>
    </w:p>
    <w:p>
      <w:pPr>
        <w:pStyle w:val="Compact"/>
        <w:numPr>
          <w:ilvl w:val="0"/>
          <w:numId w:val="1006"/>
        </w:numPr>
      </w:pPr>
      <w:r>
        <w:t xml:space="preserve">Übe weiter in den Rechenprogrammen.</w:t>
      </w:r>
    </w:p>
    <w:bookmarkEnd w:id="28"/>
    <w:bookmarkStart w:id="29" w:name="Xa8bd24432d72c4ed28c41c1f971b3fb08fe3ffd"/>
    <w:p>
      <w:pPr>
        <w:pStyle w:val="Heading3"/>
      </w:pPr>
      <w:r>
        <w:t xml:space="preserve">Weitere Übungsmöglichkeiten, sollte die gesamte Klasse sehr schnell arbeiten:</w:t>
      </w:r>
    </w:p>
    <w:p>
      <w:pPr>
        <w:pStyle w:val="Compact"/>
        <w:numPr>
          <w:ilvl w:val="0"/>
          <w:numId w:val="1007"/>
        </w:numPr>
      </w:pPr>
      <w:r>
        <w:t xml:space="preserve">Die von den SuS erstellten Textaufgabenbeispiele können im Plenum zusammen gelöst werden.</w:t>
      </w:r>
    </w:p>
    <w:bookmarkEnd w:id="29"/>
    <w:bookmarkEnd w:id="30"/>
    <w:bookmarkStart w:id="31" w:name="unterrichtsmaterialien"/>
    <w:p>
      <w:pPr>
        <w:pStyle w:val="Heading2"/>
      </w:pPr>
      <w:r>
        <w:t xml:space="preserve">Unterrichtsmaterialien</w:t>
      </w:r>
    </w:p>
    <w:p>
      <w:pPr>
        <w:pStyle w:val="FirstParagraph"/>
      </w:pPr>
      <w:r>
        <w:t xml:space="preserve">Die LP benötigt eine Visualisierungshilfe (Visualiser, Tafel, o.ä.). Die Arbeitsaufgaben für die SuS können in dieser Form weiterverwendet und ausgedruckt werden. Weiter sollen A5-Blätter für die Zusatzaufgabe in Übung 2 bereitgehalten werden.</w:t>
      </w:r>
    </w:p>
    <w:bookmarkEnd w:id="31"/>
    <w:bookmarkStart w:id="32" w:name="ergebnissicherung"/>
    <w:p>
      <w:pPr>
        <w:pStyle w:val="Heading2"/>
      </w:pPr>
      <w:r>
        <w:t xml:space="preserve">Ergebnissicherung</w:t>
      </w:r>
    </w:p>
    <w:p>
      <w:pPr>
        <w:pStyle w:val="FirstParagraph"/>
      </w:pPr>
      <w:r>
        <w:t xml:space="preserve">Es ist keine konkrete Art der Ergebnissicherung eingeplant. Es ist Auftrag der LP, während der individuellen Lernphasen Erkenntnisse über den Lernstand der individuellen SuS zu sammeln. Für die Lernprozess- / formative Beurteilung kann ein Merkhefteintrag eingefordert werden.</w:t>
      </w:r>
    </w:p>
    <w:bookmarkEnd w:id="32"/>
    <w:bookmarkStart w:id="33" w:name="unterrichtsmethoden"/>
    <w:p>
      <w:pPr>
        <w:pStyle w:val="Heading2"/>
      </w:pPr>
      <w:r>
        <w:t xml:space="preserve">Unterrichtsmethoden</w:t>
      </w:r>
    </w:p>
    <w:p>
      <w:pPr>
        <w:pStyle w:val="FirstParagraph"/>
      </w:pPr>
      <w:r>
        <w:t xml:space="preserve">Makromethodisch findet der Unterricht in einem fremdgesteuerten Setting statt. Die LP instruiert und die SuS führen vorbereitete Aufgaben/Übungen aus.</w:t>
      </w:r>
    </w:p>
    <w:p>
      <w:pPr>
        <w:pStyle w:val="Compact"/>
        <w:numPr>
          <w:ilvl w:val="0"/>
          <w:numId w:val="1008"/>
        </w:numPr>
      </w:pPr>
      <w:r>
        <w:rPr>
          <w:b/>
          <w:bCs/>
        </w:rPr>
        <w:t xml:space="preserve">Direkte Instruktionen:</w:t>
      </w:r>
    </w:p>
    <w:p>
      <w:pPr>
        <w:pStyle w:val="Compact"/>
        <w:numPr>
          <w:ilvl w:val="1"/>
          <w:numId w:val="1009"/>
        </w:numPr>
      </w:pPr>
      <w:r>
        <w:t xml:space="preserve">Es sind zwei Frontalunterrichts-Sequenzen eingeplant. Hier werden hauptsächlich theoretische Inhalte vermittelt und auch kurze Einstiegsbeispiele gezeigt.</w:t>
      </w:r>
    </w:p>
    <w:p>
      <w:pPr>
        <w:pStyle w:val="Compact"/>
        <w:numPr>
          <w:ilvl w:val="1"/>
          <w:numId w:val="1009"/>
        </w:numPr>
      </w:pPr>
      <w:r>
        <w:t xml:space="preserve">Es wird versucht, am Vorverständnis der SuS anzuknüpfen.</w:t>
      </w:r>
    </w:p>
    <w:p>
      <w:pPr>
        <w:pStyle w:val="Compact"/>
        <w:numPr>
          <w:ilvl w:val="1"/>
          <w:numId w:val="1009"/>
        </w:numPr>
      </w:pPr>
      <w:r>
        <w:t xml:space="preserve">Die Bedeutung des Gleichheitszeichens und Äquivalenzpfeils werden im Plenum vermittelt.</w:t>
      </w:r>
    </w:p>
    <w:p>
      <w:pPr>
        <w:pStyle w:val="Compact"/>
        <w:numPr>
          <w:ilvl w:val="0"/>
          <w:numId w:val="1008"/>
        </w:numPr>
      </w:pPr>
      <w:r>
        <w:rPr>
          <w:b/>
          <w:bCs/>
        </w:rPr>
        <w:t xml:space="preserve">Partnerarbeiten:</w:t>
      </w:r>
    </w:p>
    <w:p>
      <w:pPr>
        <w:pStyle w:val="Compact"/>
        <w:numPr>
          <w:ilvl w:val="1"/>
          <w:numId w:val="1010"/>
        </w:numPr>
      </w:pPr>
      <w:r>
        <w:t xml:space="preserve">Während den Frontalunterrichtssequenzen werden kurze Murmelphasen eingeplant, um die Anteilnahme der SuS zu fördern. Hier dürfen sich die SuS kurz miteinander austauschen.</w:t>
      </w:r>
    </w:p>
    <w:p>
      <w:pPr>
        <w:pStyle w:val="Compact"/>
        <w:numPr>
          <w:ilvl w:val="1"/>
          <w:numId w:val="1010"/>
        </w:numPr>
      </w:pPr>
      <w:r>
        <w:t xml:space="preserve">Während den Arbeitsphasen können sich die SuS zusammensetzen und Probleme gegebenenfalls miteinander betrachten.</w:t>
      </w:r>
    </w:p>
    <w:p>
      <w:pPr>
        <w:pStyle w:val="Compact"/>
        <w:numPr>
          <w:ilvl w:val="0"/>
          <w:numId w:val="1008"/>
        </w:numPr>
      </w:pPr>
      <w:r>
        <w:rPr>
          <w:b/>
          <w:bCs/>
        </w:rPr>
        <w:t xml:space="preserve">Individuelles Lernen (Offener Lernunterricht):</w:t>
      </w:r>
    </w:p>
    <w:p>
      <w:pPr>
        <w:pStyle w:val="Compact"/>
        <w:numPr>
          <w:ilvl w:val="1"/>
          <w:numId w:val="1011"/>
        </w:numPr>
      </w:pPr>
      <w:r>
        <w:t xml:space="preserve">Die SuS arbeiten selbstständig an den Übungsaufgaben. Hier können sie sich im eigenen Tempo in das Gehörte vertiefen.</w:t>
      </w:r>
    </w:p>
    <w:p>
      <w:pPr>
        <w:pStyle w:val="Compact"/>
        <w:numPr>
          <w:ilvl w:val="1"/>
          <w:numId w:val="1011"/>
        </w:numPr>
      </w:pPr>
      <w:r>
        <w:t xml:space="preserve">Die LP agiert als Coach und hilft wo nötig.</w:t>
      </w:r>
    </w:p>
    <w:p>
      <w:pPr>
        <w:pStyle w:val="Compact"/>
        <w:numPr>
          <w:ilvl w:val="0"/>
          <w:numId w:val="1008"/>
        </w:numPr>
      </w:pPr>
      <w:r>
        <w:rPr>
          <w:b/>
          <w:bCs/>
        </w:rPr>
        <w:t xml:space="preserve">Digitale Medien:</w:t>
      </w:r>
    </w:p>
    <w:p>
      <w:pPr>
        <w:pStyle w:val="Compact"/>
        <w:numPr>
          <w:ilvl w:val="1"/>
          <w:numId w:val="1012"/>
        </w:numPr>
      </w:pPr>
      <w:r>
        <w:t xml:space="preserve">Die Aufgaben können den SuS digital gezeigt werden.</w:t>
      </w:r>
    </w:p>
    <w:p>
      <w:pPr>
        <w:pStyle w:val="Compact"/>
        <w:numPr>
          <w:ilvl w:val="1"/>
          <w:numId w:val="1012"/>
        </w:numPr>
      </w:pPr>
      <w:r>
        <w:t xml:space="preserve">Es gibt zwei verschiedene Rechenprogramme, mit Hilfe von welchen SuS weiterüben können.</w:t>
      </w:r>
    </w:p>
    <w:p>
      <w:pPr>
        <w:pStyle w:val="Compact"/>
        <w:numPr>
          <w:ilvl w:val="0"/>
          <w:numId w:val="1008"/>
        </w:numPr>
      </w:pPr>
      <w:r>
        <w:rPr>
          <w:b/>
          <w:bCs/>
        </w:rPr>
        <w:t xml:space="preserve">Deduktive Vorgehensweise:</w:t>
      </w:r>
    </w:p>
    <w:p>
      <w:pPr>
        <w:pStyle w:val="Compact"/>
        <w:numPr>
          <w:ilvl w:val="1"/>
          <w:numId w:val="1013"/>
        </w:numPr>
      </w:pPr>
      <w:r>
        <w:t xml:space="preserve">Es werden zuerst theoretische Inhalte vermittelt. In den Übungsaufgaben werden dann eher konkrete Fälle betrachtet.</w:t>
      </w:r>
    </w:p>
    <w:bookmarkEnd w:id="33"/>
    <w:bookmarkStart w:id="34" w:name="unterrichtstechniken"/>
    <w:p>
      <w:pPr>
        <w:pStyle w:val="Heading2"/>
      </w:pPr>
      <w:r>
        <w:t xml:space="preserve">Unterrichtstechniken</w:t>
      </w:r>
    </w:p>
    <w:p>
      <w:pPr>
        <w:pStyle w:val="FirstParagraph"/>
      </w:pPr>
      <w:r>
        <w:t xml:space="preserve">In der vorliegenden Unterrichtsplanung werden verschiedene Unterrichtstechniken eingesetzt.</w:t>
      </w:r>
    </w:p>
    <w:p>
      <w:pPr>
        <w:pStyle w:val="Compact"/>
        <w:numPr>
          <w:ilvl w:val="0"/>
          <w:numId w:val="1014"/>
        </w:numPr>
      </w:pPr>
      <w:r>
        <w:rPr>
          <w:b/>
          <w:bCs/>
        </w:rPr>
        <w:t xml:space="preserve">Visualisierungshilfen:</w:t>
      </w:r>
    </w:p>
    <w:p>
      <w:pPr>
        <w:pStyle w:val="Compact"/>
        <w:numPr>
          <w:ilvl w:val="1"/>
          <w:numId w:val="1015"/>
        </w:numPr>
      </w:pPr>
      <w:r>
        <w:t xml:space="preserve">Um das Erzählte zu unterstützen, zeigt die LP an der Wandtafel (oder am Visualiser, o.ä.) die Rechnungen und Skizzen auf.</w:t>
      </w:r>
    </w:p>
    <w:p>
      <w:pPr>
        <w:pStyle w:val="Compact"/>
        <w:numPr>
          <w:ilvl w:val="0"/>
          <w:numId w:val="1014"/>
        </w:numPr>
      </w:pPr>
      <w:r>
        <w:rPr>
          <w:b/>
          <w:bCs/>
        </w:rPr>
        <w:t xml:space="preserve">Fragetechniken:</w:t>
      </w:r>
    </w:p>
    <w:p>
      <w:pPr>
        <w:pStyle w:val="Compact"/>
        <w:numPr>
          <w:ilvl w:val="1"/>
          <w:numId w:val="1016"/>
        </w:numPr>
      </w:pPr>
      <w:r>
        <w:t xml:space="preserve">Während den Einführungen werden verschiedene Fragen gestellt:</w:t>
      </w:r>
    </w:p>
    <w:p>
      <w:pPr>
        <w:pStyle w:val="Compact"/>
        <w:numPr>
          <w:ilvl w:val="2"/>
          <w:numId w:val="1017"/>
        </w:numPr>
      </w:pPr>
      <w:r>
        <w:rPr>
          <w:i/>
          <w:iCs/>
        </w:rPr>
        <w:t xml:space="preserve">Rhetorische Fragen:</w:t>
      </w:r>
      <w:r>
        <w:t xml:space="preserve"> </w:t>
      </w:r>
      <w:r>
        <w:t xml:space="preserve">Es werden Fragen aufgeworfen, welche noch keine Antwort von den SuS verlangen. Bsp.:</w:t>
      </w:r>
      <w:r>
        <w:t xml:space="preserve"> </w:t>
      </w:r>
      <w:r>
        <w:t xml:space="preserve">“</w:t>
      </w:r>
      <w:r>
        <w:t xml:space="preserve">Was bedeutet das Gleichheitszeichen?</w:t>
      </w:r>
      <w:r>
        <w:t xml:space="preserve">”</w:t>
      </w:r>
      <w:r>
        <w:t xml:space="preserve"> </w:t>
      </w:r>
      <w:r>
        <w:t xml:space="preserve">Eine konkrete Antwort wird erst nach dem Betrachten der Waage angeschaut.</w:t>
      </w:r>
    </w:p>
    <w:p>
      <w:pPr>
        <w:pStyle w:val="Compact"/>
        <w:numPr>
          <w:ilvl w:val="2"/>
          <w:numId w:val="1017"/>
        </w:numPr>
      </w:pPr>
      <w:r>
        <w:rPr>
          <w:i/>
          <w:iCs/>
        </w:rPr>
        <w:t xml:space="preserve">Konkrete Fragen:</w:t>
      </w:r>
      <w:r>
        <w:t xml:space="preserve"> </w:t>
      </w:r>
      <w:r>
        <w:t xml:space="preserve">Es werden im Plenum Fragen gestellt, welche dann im Plenum besprochen werden.</w:t>
      </w:r>
    </w:p>
    <w:p>
      <w:pPr>
        <w:pStyle w:val="Compact"/>
        <w:numPr>
          <w:ilvl w:val="0"/>
          <w:numId w:val="1014"/>
        </w:numPr>
      </w:pPr>
      <w:r>
        <w:rPr>
          <w:b/>
          <w:bCs/>
        </w:rPr>
        <w:t xml:space="preserve">Aktivierungstechniken:</w:t>
      </w:r>
    </w:p>
    <w:p>
      <w:pPr>
        <w:pStyle w:val="Compact"/>
        <w:numPr>
          <w:ilvl w:val="1"/>
          <w:numId w:val="1018"/>
        </w:numPr>
      </w:pPr>
      <w:r>
        <w:t xml:space="preserve">Um Antworten bei den jeweiligen Fragen zu generieren, werden hauptsächlich Murmelgruppen verwendet. Hier besprechen die SuS mit ihrem Pultnachbar die Fragen, um den Einstieg zu erleichtern.</w:t>
      </w:r>
    </w:p>
    <w:p>
      <w:pPr>
        <w:pStyle w:val="Compact"/>
        <w:numPr>
          <w:ilvl w:val="0"/>
          <w:numId w:val="1014"/>
        </w:numPr>
      </w:pPr>
      <w:r>
        <w:rPr>
          <w:b/>
          <w:bCs/>
        </w:rPr>
        <w:t xml:space="preserve">Reflexionstechniken:</w:t>
      </w:r>
    </w:p>
    <w:p>
      <w:pPr>
        <w:pStyle w:val="Compact"/>
        <w:numPr>
          <w:ilvl w:val="1"/>
          <w:numId w:val="1019"/>
        </w:numPr>
      </w:pPr>
      <w:r>
        <w:t xml:space="preserve">Es besteht die Möglichkeit, dass die SuS einen Merkhefteintrag erstellen, in welchem sie das Gelernte nochmals festhalten.</w:t>
      </w:r>
    </w:p>
    <w:p>
      <w:pPr>
        <w:pStyle w:val="Compact"/>
        <w:numPr>
          <w:ilvl w:val="0"/>
          <w:numId w:val="1014"/>
        </w:numPr>
      </w:pPr>
      <w:r>
        <w:rPr>
          <w:b/>
          <w:bCs/>
        </w:rPr>
        <w:t xml:space="preserve">Schritt-für-Schritt Erklärungen:</w:t>
      </w:r>
    </w:p>
    <w:p>
      <w:pPr>
        <w:pStyle w:val="Compact"/>
        <w:numPr>
          <w:ilvl w:val="1"/>
          <w:numId w:val="1020"/>
        </w:numPr>
      </w:pPr>
      <w:r>
        <w:t xml:space="preserve">Die SuS werden in verschiedenen Aufgaben angeleitet, damit sie das Lösungsvorgehen bei Gleichungen verstehen lernen.</w:t>
      </w:r>
    </w:p>
    <w:bookmarkEnd w:id="34"/>
    <w:bookmarkStart w:id="35" w:name="didaktische-prinzipien-mathematik"/>
    <w:p>
      <w:pPr>
        <w:pStyle w:val="Heading2"/>
      </w:pPr>
      <w:r>
        <w:t xml:space="preserve">Didaktische Prinzipien (Mathematik)</w:t>
      </w:r>
    </w:p>
    <w:p>
      <w:pPr>
        <w:pStyle w:val="Compact"/>
        <w:numPr>
          <w:ilvl w:val="0"/>
          <w:numId w:val="1021"/>
        </w:numPr>
      </w:pPr>
      <w:r>
        <w:rPr>
          <w:b/>
          <w:bCs/>
        </w:rPr>
        <w:t xml:space="preserve">Anknüpfen an Vorwissen + Einführung in neue Konzepte</w:t>
      </w:r>
    </w:p>
    <w:p>
      <w:pPr>
        <w:pStyle w:val="Compact"/>
        <w:numPr>
          <w:ilvl w:val="1"/>
          <w:numId w:val="1022"/>
        </w:numPr>
      </w:pPr>
      <w:r>
        <w:t xml:space="preserve">Die Lernphase (LP) beginnt mit der Wiederholung des bereits bekannten Themas „Variablen“.</w:t>
      </w:r>
    </w:p>
    <w:p>
      <w:pPr>
        <w:pStyle w:val="Compact"/>
        <w:numPr>
          <w:ilvl w:val="1"/>
          <w:numId w:val="1022"/>
        </w:numPr>
      </w:pPr>
      <w:r>
        <w:t xml:space="preserve">Dies stellt sicher, dass das Vorwissen aktiviert wird und die Schülerinnen und Schüler (SuS) die Möglichkeit haben, auf bereits Gelerntes zurückzugreifen.</w:t>
      </w:r>
    </w:p>
    <w:p>
      <w:pPr>
        <w:pStyle w:val="Compact"/>
        <w:numPr>
          <w:ilvl w:val="1"/>
          <w:numId w:val="1022"/>
        </w:numPr>
      </w:pPr>
      <w:r>
        <w:t xml:space="preserve">Danach wird schrittweise das neue Konzept „Gleichungen“ eingeführt.</w:t>
      </w:r>
    </w:p>
    <w:p>
      <w:pPr>
        <w:pStyle w:val="Compact"/>
        <w:numPr>
          <w:ilvl w:val="0"/>
          <w:numId w:val="1021"/>
        </w:numPr>
      </w:pPr>
      <w:r>
        <w:rPr>
          <w:b/>
          <w:bCs/>
        </w:rPr>
        <w:t xml:space="preserve">Verständnis von Begriffen und Symbolen (Variable, Term, Gleichheitszeichen, etc.)</w:t>
      </w:r>
    </w:p>
    <w:p>
      <w:pPr>
        <w:pStyle w:val="Compact"/>
        <w:numPr>
          <w:ilvl w:val="1"/>
          <w:numId w:val="1023"/>
        </w:numPr>
      </w:pPr>
      <w:r>
        <w:t xml:space="preserve">Bezüglich der Sprachsensibilität im Mathematikunterricht müssen diese Begriffe im Unterricht explizit verwendet werden.</w:t>
      </w:r>
    </w:p>
    <w:p>
      <w:pPr>
        <w:pStyle w:val="Compact"/>
        <w:numPr>
          <w:ilvl w:val="1"/>
          <w:numId w:val="1023"/>
        </w:numPr>
      </w:pPr>
      <w:r>
        <w:t xml:space="preserve">Dies fördert ein klares Verständnis und eine präzise Verwendung von mathematischen Begriffen.</w:t>
      </w:r>
    </w:p>
    <w:p>
      <w:pPr>
        <w:pStyle w:val="Compact"/>
        <w:numPr>
          <w:ilvl w:val="0"/>
          <w:numId w:val="1021"/>
        </w:numPr>
      </w:pPr>
      <w:r>
        <w:rPr>
          <w:b/>
          <w:bCs/>
        </w:rPr>
        <w:t xml:space="preserve">Förderung des funktionalen Denkens</w:t>
      </w:r>
    </w:p>
    <w:p>
      <w:pPr>
        <w:pStyle w:val="Compact"/>
        <w:numPr>
          <w:ilvl w:val="1"/>
          <w:numId w:val="1024"/>
        </w:numPr>
      </w:pPr>
      <w:r>
        <w:t xml:space="preserve">Die LP zeigt beispielsweise lineare Beziehungen auf.</w:t>
      </w:r>
    </w:p>
    <w:p>
      <w:pPr>
        <w:pStyle w:val="Compact"/>
        <w:numPr>
          <w:ilvl w:val="1"/>
          <w:numId w:val="1024"/>
        </w:numPr>
      </w:pPr>
      <w:r>
        <w:t xml:space="preserve">Es wird erklärt, wie sich die Werte in der Zweierreihe durch Multiplikation von (x) mit 2 ergeben.</w:t>
      </w:r>
    </w:p>
    <w:p>
      <w:pPr>
        <w:pStyle w:val="Compact"/>
        <w:numPr>
          <w:ilvl w:val="1"/>
          <w:numId w:val="1024"/>
        </w:numPr>
      </w:pPr>
      <w:r>
        <w:t xml:space="preserve">Dieses Verständnis legt die Basis für weiterführende Themen wie lineare Funktionen und Graphen.</w:t>
      </w:r>
    </w:p>
    <w:p>
      <w:pPr>
        <w:pStyle w:val="Compact"/>
        <w:numPr>
          <w:ilvl w:val="0"/>
          <w:numId w:val="1021"/>
        </w:numPr>
      </w:pPr>
      <w:r>
        <w:rPr>
          <w:b/>
          <w:bCs/>
        </w:rPr>
        <w:t xml:space="preserve">Veranschaulichung der algebraischen Strukturen</w:t>
      </w:r>
    </w:p>
    <w:p>
      <w:pPr>
        <w:pStyle w:val="Compact"/>
        <w:numPr>
          <w:ilvl w:val="1"/>
          <w:numId w:val="1025"/>
        </w:numPr>
      </w:pPr>
      <w:r>
        <w:t xml:space="preserve">Durch das Hinzufügen weiterer Summanden zu einer Gleichung (von (y=2x) zu (y=2x+3)) wird den SuS verdeutlicht, wie sich die mathematische Struktur verändert.</w:t>
      </w:r>
    </w:p>
    <w:p>
      <w:pPr>
        <w:pStyle w:val="Compact"/>
        <w:numPr>
          <w:ilvl w:val="1"/>
          <w:numId w:val="1025"/>
        </w:numPr>
      </w:pPr>
      <w:r>
        <w:t xml:space="preserve">Dies zeigt auf, was diese Veränderung für die Lösungsmenge bedeutet.</w:t>
      </w:r>
    </w:p>
    <w:p>
      <w:pPr>
        <w:pStyle w:val="Compact"/>
        <w:numPr>
          <w:ilvl w:val="1"/>
          <w:numId w:val="1025"/>
        </w:numPr>
      </w:pPr>
      <w:r>
        <w:t xml:space="preserve">Dies ist ein wichtiger Aspekt der algebraischen Denkweise, die es den SuS ermöglicht, allgemeine Strukturen in Gleichungen zu erkennen und zu analysieren.</w:t>
      </w:r>
    </w:p>
    <w:p>
      <w:pPr>
        <w:pStyle w:val="Compact"/>
        <w:numPr>
          <w:ilvl w:val="0"/>
          <w:numId w:val="1021"/>
        </w:numPr>
      </w:pPr>
      <w:r>
        <w:rPr>
          <w:b/>
          <w:bCs/>
        </w:rPr>
        <w:t xml:space="preserve">Exploratives Arbeiten</w:t>
      </w:r>
    </w:p>
    <w:p>
      <w:pPr>
        <w:pStyle w:val="Compact"/>
        <w:numPr>
          <w:ilvl w:val="1"/>
          <w:numId w:val="1026"/>
        </w:numPr>
      </w:pPr>
      <w:r>
        <w:t xml:space="preserve">Um der rein deduktiven Vorgehensweise entgegenzuwirken, können die SuS eigene Textaufgabenbeispiele erstellen.</w:t>
      </w:r>
    </w:p>
    <w:p>
      <w:pPr>
        <w:pStyle w:val="Compact"/>
        <w:numPr>
          <w:ilvl w:val="1"/>
          <w:numId w:val="1026"/>
        </w:numPr>
      </w:pPr>
      <w:r>
        <w:t xml:space="preserve">Hier geht es darum, Alltagsbeispiele zu mathematisieren.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be.lehrplan.ch/101AJt2yMqVxRygKJ2xZqrbaqzAhfYnDL" TargetMode="External" /><Relationship Type="http://schemas.openxmlformats.org/officeDocument/2006/relationships/hyperlink" Id="rId21" Target="https://be.lehrplan.ch/101E8xmhHHgram3LHqgCx2Gwdg3vJ6cPY" TargetMode="External" /><Relationship Type="http://schemas.openxmlformats.org/officeDocument/2006/relationships/hyperlink" Id="rId23" Target="https://be.lehrplan.ch/101eyUHN5UTpNM7eNmb25PVMKdrYH99AJ" TargetMode="External" /></Relationships>
</file>

<file path=word/_rels/footnotes.xml.rels><?xml version="1.0" encoding="UTF-8"?><Relationships xmlns="http://schemas.openxmlformats.org/package/2006/relationships"><Relationship Type="http://schemas.openxmlformats.org/officeDocument/2006/relationships/hyperlink" Id="rId22" Target="https://be.lehrplan.ch/101AJt2yMqVxRygKJ2xZqrbaqzAhfYnDL" TargetMode="External" /><Relationship Type="http://schemas.openxmlformats.org/officeDocument/2006/relationships/hyperlink" Id="rId21" Target="https://be.lehrplan.ch/101E8xmhHHgram3LHqgCx2Gwdg3vJ6cPY" TargetMode="External" /><Relationship Type="http://schemas.openxmlformats.org/officeDocument/2006/relationships/hyperlink" Id="rId23" Target="https://be.lehrplan.ch/101eyUHN5UTpNM7eNmb25PVMKdrYH99AJ"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Gleichungen</dc:title>
  <dc:creator>Richard Conrardy</dc:creator>
  <dc:language>de</dc:language>
  <cp:keywords/>
  <dcterms:created xsi:type="dcterms:W3CDTF">2024-10-14T14:08:02Z</dcterms:created>
  <dcterms:modified xsi:type="dcterms:W3CDTF">2024-10-14T14:08:02Z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Eine Doppellektion zur Einführung in Gleichungen</vt:lpwstr>
  </property>
  <property fmtid="{D5CDD505-2E9C-101B-9397-08002B2CF9AE}" pid="3" name="affiliations">
    <vt:lpwstr/>
  </property>
  <property fmtid="{D5CDD505-2E9C-101B-9397-08002B2CF9AE}" pid="4" name="appendix-cite-as">
    <vt:lpwstr>display</vt:lpwstr>
  </property>
  <property fmtid="{D5CDD505-2E9C-101B-9397-08002B2CF9AE}" pid="5" name="authors">
    <vt:lpwstr/>
  </property>
  <property fmtid="{D5CDD505-2E9C-101B-9397-08002B2CF9AE}" pid="6" name="auto-agenda">
    <vt:lpwstr/>
  </property>
  <property fmtid="{D5CDD505-2E9C-101B-9397-08002B2CF9AE}" pid="7" name="biblio-config">
    <vt:lpwstr>True</vt:lpwstr>
  </property>
  <property fmtid="{D5CDD505-2E9C-101B-9397-08002B2CF9AE}" pid="8" name="bibliography">
    <vt:lpwstr/>
  </property>
  <property fmtid="{D5CDD505-2E9C-101B-9397-08002B2CF9AE}" pid="9" name="by-affiliation">
    <vt:lpwstr/>
  </property>
  <property fmtid="{D5CDD505-2E9C-101B-9397-08002B2CF9AE}" pid="10" name="by-author">
    <vt:lpwstr/>
  </property>
  <property fmtid="{D5CDD505-2E9C-101B-9397-08002B2CF9AE}" pid="11" name="citation">
    <vt:lpwstr/>
  </property>
  <property fmtid="{D5CDD505-2E9C-101B-9397-08002B2CF9AE}" pid="12" name="copyright">
    <vt:lpwstr/>
  </property>
  <property fmtid="{D5CDD505-2E9C-101B-9397-08002B2CF9AE}" pid="13" name="csl">
    <vt:lpwstr>../../bibliographien/apa7.csl</vt:lpwstr>
  </property>
  <property fmtid="{D5CDD505-2E9C-101B-9397-08002B2CF9AE}" pid="14" name="date">
    <vt:lpwstr>22.09.2024</vt:lpwstr>
  </property>
  <property fmtid="{D5CDD505-2E9C-101B-9397-08002B2CF9AE}" pid="15" name="date-format">
    <vt:lpwstr>DD.MM.YYYY</vt:lpwstr>
  </property>
  <property fmtid="{D5CDD505-2E9C-101B-9397-08002B2CF9AE}" pid="16" name="draft">
    <vt:lpwstr>False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labels">
    <vt:lpwstr/>
  </property>
  <property fmtid="{D5CDD505-2E9C-101B-9397-08002B2CF9AE}" pid="21" name="licence">
    <vt:lpwstr>CC-BY-SA</vt:lpwstr>
  </property>
  <property fmtid="{D5CDD505-2E9C-101B-9397-08002B2CF9AE}" pid="22" name="mermaid">
    <vt:lpwstr/>
  </property>
  <property fmtid="{D5CDD505-2E9C-101B-9397-08002B2CF9AE}" pid="23" name="subtitle">
    <vt:lpwstr>Einführung und Theorie</vt:lpwstr>
  </property>
  <property fmtid="{D5CDD505-2E9C-101B-9397-08002B2CF9AE}" pid="24" name="theme">
    <vt:lpwstr/>
  </property>
  <property fmtid="{D5CDD505-2E9C-101B-9397-08002B2CF9AE}" pid="25" name="toc-expand">
    <vt:lpwstr>1</vt:lpwstr>
  </property>
  <property fmtid="{D5CDD505-2E9C-101B-9397-08002B2CF9AE}" pid="26" name="toc-title">
    <vt:lpwstr>Inhaltsverzeichnis</vt:lpwstr>
  </property>
</Properties>
</file>