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Forschungsethik</w:t>
      </w:r>
    </w:p>
    <w:p>
      <w:pPr>
        <w:pStyle w:val="Subtitle"/>
      </w:pPr>
      <w:r>
        <w:t xml:space="preserve">Learning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01.01.2024</w:t>
      </w:r>
    </w:p>
    <w:bookmarkStart w:id="22" w:name="rechtliche-rahmenbedingungen"/>
    <w:p>
      <w:pPr>
        <w:pStyle w:val="Heading1"/>
      </w:pPr>
      <w:r>
        <w:t xml:space="preserve">Rechtliche Rahmenbedingungen</w:t>
      </w:r>
    </w:p>
    <w:bookmarkStart w:id="20" w:name="dsg-und-kdsg"/>
    <w:p>
      <w:pPr>
        <w:pStyle w:val="Heading2"/>
      </w:pPr>
      <w:r>
        <w:t xml:space="preserve">DSG und KDSG</w:t>
      </w:r>
    </w:p>
    <w:bookmarkEnd w:id="20"/>
    <w:bookmarkStart w:id="21" w:name="anonymisierung-pseudonymisierung"/>
    <w:p>
      <w:pPr>
        <w:pStyle w:val="Heading2"/>
      </w:pPr>
      <w:r>
        <w:t xml:space="preserve">Anonymisierung / Pseudonymisierung</w:t>
      </w:r>
    </w:p>
    <w:bookmarkEnd w:id="21"/>
    <w:bookmarkEnd w:id="22"/>
    <w:bookmarkStart w:id="23" w:name="ethische-rahmenbedingungen"/>
    <w:p>
      <w:pPr>
        <w:pStyle w:val="Heading1"/>
      </w:pPr>
      <w:r>
        <w:t xml:space="preserve">Ethische Rahmenbedingungen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Forschungsethik</dc:title>
  <dc:creator>Richard Conrardy</dc:creator>
  <dc:language>de</dc:language>
  <cp:keywords/>
  <dcterms:created xsi:type="dcterms:W3CDTF">2024-05-15T11:27:52Z</dcterms:created>
  <dcterms:modified xsi:type="dcterms:W3CDTF">2024-05-15T11:27:52Z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">
    <vt:lpwstr>01.01.2024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