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lernen</w:t>
      </w:r>
      <w:r>
        <w:t xml:space="preserve"> </w:t>
      </w:r>
      <w:r>
        <w:t xml:space="preserve">Sie</w:t>
      </w:r>
      <w:r>
        <w:t xml:space="preserve"> </w:t>
      </w:r>
      <w:r>
        <w:t xml:space="preserve">die</w:t>
      </w:r>
      <w:r>
        <w:t xml:space="preserve"> </w:t>
      </w:r>
      <w:r>
        <w:t xml:space="preserve">gesetzlichen</w:t>
      </w:r>
      <w:r>
        <w:t xml:space="preserve"> </w:t>
      </w:r>
      <w:r>
        <w:t xml:space="preserve">Grundlagen</w:t>
      </w:r>
      <w:r>
        <w:t xml:space="preserve"> </w:t>
      </w:r>
      <w:r>
        <w:t xml:space="preserve">schulischer</w:t>
      </w:r>
      <w:r>
        <w:t xml:space="preserve"> </w:t>
      </w:r>
      <w:r>
        <w:t xml:space="preserve">Beurteilung</w:t>
      </w:r>
      <w:r>
        <w:t xml:space="preserve"> </w:t>
      </w:r>
      <w:r>
        <w:t xml:space="preserve">im</w:t>
      </w:r>
      <w:r>
        <w:t xml:space="preserve"> </w:t>
      </w:r>
      <w:r>
        <w:t xml:space="preserve">Kanton</w:t>
      </w:r>
      <w:r>
        <w:t xml:space="preserve"> </w:t>
      </w:r>
      <w:r>
        <w:t xml:space="preserve">Bern</w:t>
      </w:r>
      <w:r>
        <w:t xml:space="preserve"> </w:t>
      </w:r>
      <w:r>
        <w:t xml:space="preserve">kennen.</w:t>
      </w:r>
      <w:r>
        <w:t xml:space="preserve"> </w:t>
      </w:r>
      <w:r>
        <w:t xml:space="preserve">Grundsätzlich</w:t>
      </w:r>
      <w:r>
        <w:t xml:space="preserve"> </w:t>
      </w:r>
      <w:r>
        <w:t xml:space="preserve">kennen</w:t>
      </w:r>
      <w:r>
        <w:t xml:space="preserve"> </w:t>
      </w:r>
      <w:r>
        <w:t xml:space="preserve">alle</w:t>
      </w:r>
      <w:r>
        <w:t xml:space="preserve"> </w:t>
      </w:r>
      <w:r>
        <w:t xml:space="preserve">schweizerischen</w:t>
      </w:r>
      <w:r>
        <w:t xml:space="preserve"> </w:t>
      </w:r>
      <w:r>
        <w:t xml:space="preserve">Kantone</w:t>
      </w:r>
      <w:r>
        <w:t xml:space="preserve"> </w:t>
      </w:r>
      <w:r>
        <w:t xml:space="preserve">solche</w:t>
      </w:r>
      <w:r>
        <w:t xml:space="preserve"> </w:t>
      </w:r>
      <w:r>
        <w:t xml:space="preserve">Grundlagen.</w:t>
      </w:r>
      <w:r>
        <w:t xml:space="preserve"> </w:t>
      </w:r>
      <w:r>
        <w:t xml:space="preserve">Es</w:t>
      </w:r>
      <w:r>
        <w:t xml:space="preserve"> </w:t>
      </w:r>
      <w:r>
        <w:t xml:space="preserve">ist</w:t>
      </w:r>
      <w:r>
        <w:t xml:space="preserve"> </w:t>
      </w:r>
      <w:r>
        <w:t xml:space="preserve">allerdings</w:t>
      </w:r>
      <w:r>
        <w:t xml:space="preserve"> </w:t>
      </w:r>
      <w:r>
        <w:t xml:space="preserve">ganz</w:t>
      </w:r>
      <w:r>
        <w:t xml:space="preserve"> </w:t>
      </w:r>
      <w:r>
        <w:t xml:space="preserve">im</w:t>
      </w:r>
      <w:r>
        <w:t xml:space="preserve"> </w:t>
      </w:r>
      <w:r>
        <w:t xml:space="preserve">Sinne</w:t>
      </w:r>
      <w:r>
        <w:t xml:space="preserve"> </w:t>
      </w:r>
      <w:r>
        <w:t xml:space="preserve">des</w:t>
      </w:r>
      <w:r>
        <w:t xml:space="preserve"> </w:t>
      </w:r>
      <w:r>
        <w:t xml:space="preserve">Föderalismus</w:t>
      </w:r>
      <w:r>
        <w:t xml:space="preserve"> </w:t>
      </w:r>
      <w:r>
        <w:t xml:space="preserve">nicht</w:t>
      </w:r>
      <w:r>
        <w:t xml:space="preserve"> </w:t>
      </w:r>
      <w:r>
        <w:t xml:space="preserve">überall</w:t>
      </w:r>
      <w:r>
        <w:t xml:space="preserve"> </w:t>
      </w:r>
      <w:r>
        <w:t xml:space="preserve">gleich</w:t>
      </w:r>
      <w:r>
        <w:t xml:space="preserve"> </w:t>
      </w:r>
      <w:r>
        <w:t xml:space="preserve">und</w:t>
      </w:r>
      <w:r>
        <w:t xml:space="preserve"> </w:t>
      </w:r>
      <w:r>
        <w:t xml:space="preserve">vor</w:t>
      </w:r>
      <w:r>
        <w:t xml:space="preserve"> </w:t>
      </w:r>
      <w:r>
        <w:t xml:space="preserve">allem</w:t>
      </w:r>
      <w:r>
        <w:t xml:space="preserve"> </w:t>
      </w:r>
      <w:r>
        <w:t xml:space="preserve">findet</w:t>
      </w:r>
      <w:r>
        <w:t xml:space="preserve"> </w:t>
      </w:r>
      <w:r>
        <w:t xml:space="preserve">man</w:t>
      </w:r>
      <w:r>
        <w:t xml:space="preserve"> </w:t>
      </w:r>
      <w:r>
        <w:t xml:space="preserve">diese</w:t>
      </w:r>
      <w:r>
        <w:t xml:space="preserve"> </w:t>
      </w:r>
      <w:r>
        <w:t xml:space="preserve">Grundlagen</w:t>
      </w:r>
      <w:r>
        <w:t xml:space="preserve"> </w:t>
      </w:r>
      <w:r>
        <w:t xml:space="preserve">auch</w:t>
      </w:r>
      <w:r>
        <w:t xml:space="preserve"> </w:t>
      </w:r>
      <w:r>
        <w:t xml:space="preserve">nicht</w:t>
      </w:r>
      <w:r>
        <w:t xml:space="preserve"> </w:t>
      </w:r>
      <w:r>
        <w:t xml:space="preserve">überall</w:t>
      </w:r>
      <w:r>
        <w:t xml:space="preserve"> </w:t>
      </w:r>
      <w:r>
        <w:t xml:space="preserve">gleich</w:t>
      </w:r>
      <w:r>
        <w:t xml:space="preserve"> </w:t>
      </w:r>
      <w:r>
        <w:t xml:space="preserve">schnell</w:t>
      </w:r>
      <w:r>
        <w:t xml:space="preserve"> </w:t>
      </w:r>
      <w:r>
        <w:t xml:space="preserve">bzw.</w:t>
      </w:r>
      <w:r>
        <w:t xml:space="preserve"> </w:t>
      </w:r>
      <w:r>
        <w:t xml:space="preserve">an</w:t>
      </w:r>
      <w:r>
        <w:t xml:space="preserve"> </w:t>
      </w:r>
      <w:r>
        <w:t xml:space="preserve">denselben</w:t>
      </w:r>
      <w:r>
        <w:t xml:space="preserve"> </w:t>
      </w:r>
      <w:r>
        <w:t xml:space="preserve">Orten.</w:t>
      </w:r>
      <w:r>
        <w:t xml:space="preserve"> </w:t>
      </w:r>
      <w:r>
        <w:t xml:space="preserve">Falls</w:t>
      </w:r>
      <w:r>
        <w:t xml:space="preserve"> </w:t>
      </w:r>
      <w:r>
        <w:t xml:space="preserve">Sie</w:t>
      </w:r>
      <w:r>
        <w:t xml:space="preserve"> </w:t>
      </w:r>
      <w:r>
        <w:t xml:space="preserve">jetzt</w:t>
      </w:r>
      <w:r>
        <w:t xml:space="preserve"> </w:t>
      </w:r>
      <w:r>
        <w:t xml:space="preserve">schon</w:t>
      </w:r>
      <w:r>
        <w:t xml:space="preserve"> </w:t>
      </w:r>
      <w:r>
        <w:t xml:space="preserve">wissen,</w:t>
      </w:r>
      <w:r>
        <w:t xml:space="preserve"> </w:t>
      </w:r>
      <w:r>
        <w:t xml:space="preserve">dass</w:t>
      </w:r>
      <w:r>
        <w:t xml:space="preserve"> </w:t>
      </w:r>
      <w:r>
        <w:t xml:space="preserve">Sie</w:t>
      </w:r>
      <w:r>
        <w:t xml:space="preserve"> </w:t>
      </w:r>
      <w:r>
        <w:t xml:space="preserve">später</w:t>
      </w:r>
      <w:r>
        <w:t xml:space="preserve"> </w:t>
      </w:r>
      <w:r>
        <w:t xml:space="preserve">nicht</w:t>
      </w:r>
      <w:r>
        <w:t xml:space="preserve"> </w:t>
      </w:r>
      <w:r>
        <w:t xml:space="preserve">im</w:t>
      </w:r>
      <w:r>
        <w:t xml:space="preserve"> </w:t>
      </w:r>
      <w:r>
        <w:t xml:space="preserve">Kanton</w:t>
      </w:r>
      <w:r>
        <w:t xml:space="preserve"> </w:t>
      </w:r>
      <w:r>
        <w:t xml:space="preserve">Bern</w:t>
      </w:r>
      <w:r>
        <w:t xml:space="preserve"> </w:t>
      </w:r>
      <w:r>
        <w:t xml:space="preserve">unterrichten</w:t>
      </w:r>
      <w:r>
        <w:t xml:space="preserve"> </w:t>
      </w:r>
      <w:r>
        <w:t xml:space="preserve">werden,</w:t>
      </w:r>
      <w:r>
        <w:t xml:space="preserve"> </w:t>
      </w:r>
      <w:r>
        <w:t xml:space="preserve">lohnt</w:t>
      </w:r>
      <w:r>
        <w:t xml:space="preserve"> </w:t>
      </w:r>
      <w:r>
        <w:t xml:space="preserve">es</w:t>
      </w:r>
      <w:r>
        <w:t xml:space="preserve"> </w:t>
      </w:r>
      <w:r>
        <w:t xml:space="preserve">sich</w:t>
      </w:r>
      <w:r>
        <w:t xml:space="preserve"> </w:t>
      </w:r>
      <w:r>
        <w:t xml:space="preserve">dennoch,</w:t>
      </w:r>
      <w:r>
        <w:t xml:space="preserve"> </w:t>
      </w:r>
      <w:r>
        <w:t xml:space="preserve">die</w:t>
      </w:r>
      <w:r>
        <w:t xml:space="preserve"> </w:t>
      </w:r>
      <w:r>
        <w:t xml:space="preserve">gesetzlichen</w:t>
      </w:r>
      <w:r>
        <w:t xml:space="preserve"> </w:t>
      </w:r>
      <w:r>
        <w:t xml:space="preserve">Grundlagen</w:t>
      </w:r>
      <w:r>
        <w:t xml:space="preserve"> </w:t>
      </w:r>
      <w:r>
        <w:t xml:space="preserve">für</w:t>
      </w:r>
      <w:r>
        <w:t xml:space="preserve"> </w:t>
      </w:r>
      <w:r>
        <w:t xml:space="preserve">Ihren</w:t>
      </w:r>
      <w:r>
        <w:t xml:space="preserve"> </w:t>
      </w:r>
      <w:r>
        <w:t xml:space="preserve">Kanton</w:t>
      </w:r>
      <w:r>
        <w:t xml:space="preserve"> </w:t>
      </w:r>
      <w:r>
        <w:t xml:space="preserve">zu</w:t>
      </w:r>
      <w:r>
        <w:t xml:space="preserve"> </w:t>
      </w:r>
      <w:r>
        <w:t xml:space="preserve">recherchieren</w:t>
      </w:r>
      <w:r>
        <w:t xml:space="preserve"> </w:t>
      </w:r>
      <w:r>
        <w:t xml:space="preserve">und</w:t>
      </w:r>
      <w:r>
        <w:t xml:space="preserve"> </w:t>
      </w:r>
      <w:r>
        <w:t xml:space="preserve">zu</w:t>
      </w:r>
      <w:r>
        <w:t xml:space="preserve"> </w:t>
      </w:r>
      <w:r>
        <w:t xml:space="preserve">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wichtigsten gesetzlichen Grundlagendokumente im Kanton Bern und können deren Bedeutung einschätzen.</w:t>
            </w:r>
          </w:p>
          <w:p>
            <w:pPr>
              <w:numPr>
                <w:ilvl w:val="0"/>
                <w:numId w:val="1001"/>
              </w:numPr>
              <w:pStyle w:val="Compact"/>
            </w:pPr>
            <w:r>
              <w:t xml:space="preserve">erarbeiten sich die wichtigsten gesetzlichen Vorgaben in Bezug auf Beurteilung, Förderung und Schullaufbahnentscheide.</w:t>
            </w:r>
          </w:p>
        </w:tc>
      </w:tr>
    </w:tbl>
    <w:bookmarkStart w:id="24"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stellen wir Ihnen die Grundlagendokumente zu den rechtlichen Grundlagen vor und weisen explizit auf einige bernische Regelungen und Vorgaben in Bezug auf Beurteilung &amp; Förderung hin.</w:t>
      </w:r>
    </w:p>
    <w:bookmarkEnd w:id="24"/>
    <w:bookmarkStart w:id="41"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5">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numPr>
          <w:ilvl w:val="0"/>
          <w:numId w:val="1002"/>
        </w:numPr>
        <w:pStyle w:val="Compact"/>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numPr>
          <w:ilvl w:val="0"/>
          <w:numId w:val="1002"/>
        </w:numPr>
        <w:pStyle w:val="Compact"/>
      </w:pPr>
      <w:r>
        <w:t xml:space="preserve">Damit Sie Ihre Ergebnisse selbstständig auswerten und evaluieren können, stellen wir Ihnen Lösungen zur Verfügung (siehe unten).</w:t>
      </w:r>
    </w:p>
    <w:p>
      <w:pPr>
        <w:numPr>
          <w:ilvl w:val="0"/>
          <w:numId w:val="1002"/>
        </w:numPr>
        <w:pStyle w:val="Compact"/>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0" w:name="fallbeispiele-zum-dvbs-benotung"/>
    <w:p>
      <w:pPr>
        <w:pStyle w:val="Heading2"/>
      </w:pPr>
      <w:r>
        <w:t xml:space="preserve">Fallbeispiele zum DVBS (Benotung)</w:t>
      </w:r>
    </w:p>
    <w:bookmarkStart w:id="26"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numPr>
          <w:ilvl w:val="0"/>
          <w:numId w:val="1003"/>
        </w:numPr>
        <w:pStyle w:val="Compact"/>
      </w:pPr>
      <w:r>
        <w:t xml:space="preserve">Wie sieht hier die Sachlage für Sie als Lehrperson der Sekundarstufe I genau aus?</w:t>
      </w:r>
    </w:p>
    <w:p>
      <w:pPr>
        <w:numPr>
          <w:ilvl w:val="0"/>
          <w:numId w:val="1003"/>
        </w:numPr>
        <w:pStyle w:val="Compact"/>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5">
        <w:r>
          <w:rPr>
            <w:rStyle w:val="Hyperlink"/>
          </w:rPr>
          <w:t xml:space="preserve">Art. 7 Abs. 1 Information</w:t>
        </w:r>
      </w:hyperlink>
    </w:p>
    <w:p>
      <w:pPr>
        <w:pStyle w:val="BodyText"/>
      </w:pPr>
      <w:r>
        <w:t xml:space="preserve">1 Die</w:t>
      </w:r>
      <w:r>
        <w:t xml:space="preserve"> </w:t>
      </w:r>
      <w:r>
        <w:rPr>
          <w:bCs/>
          <w:b/>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Cs/>
          <w:b/>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6"/>
    <w:bookmarkStart w:id="27"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numPr>
          <w:ilvl w:val="0"/>
          <w:numId w:val="1004"/>
        </w:numPr>
        <w:pStyle w:val="Compact"/>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5">
        <w:r>
          <w:rPr>
            <w:rStyle w:val="Hyperlink"/>
          </w:rPr>
          <w:t xml:space="preserve">Art. 11 Abs. 1 DVBS</w:t>
        </w:r>
      </w:hyperlink>
      <w:r>
        <w:t xml:space="preserve"> </w:t>
      </w:r>
      <w:r>
        <w:t xml:space="preserve">(insb. g bis k)</w:t>
      </w:r>
    </w:p>
    <w:p>
      <w:pPr>
        <w:numPr>
          <w:ilvl w:val="0"/>
          <w:numId w:val="1005"/>
        </w:numPr>
        <w:pStyle w:val="Compact"/>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5">
        <w:r>
          <w:rPr>
            <w:rStyle w:val="Hyperlink"/>
          </w:rPr>
          <w:t xml:space="preserve">Art. 33 DVBS</w:t>
        </w:r>
      </w:hyperlink>
      <w:r>
        <w:t xml:space="preserve"> </w:t>
      </w:r>
      <w:r>
        <w:t xml:space="preserve">bis</w:t>
      </w:r>
      <w:r>
        <w:t xml:space="preserve"> </w:t>
      </w:r>
      <w:hyperlink r:id="rId25">
        <w:r>
          <w:rPr>
            <w:rStyle w:val="Hyperlink"/>
          </w:rPr>
          <w:t xml:space="preserve">Art. 45 DVBS</w:t>
        </w:r>
      </w:hyperlink>
    </w:p>
    <w:p>
      <w:pPr>
        <w:pStyle w:val="BodyText"/>
      </w:pPr>
      <w:r>
        <w:t xml:space="preserve">Insb.</w:t>
      </w:r>
      <w:r>
        <w:t xml:space="preserve"> </w:t>
      </w:r>
      <w:hyperlink r:id="rId25">
        <w:r>
          <w:rPr>
            <w:rStyle w:val="Hyperlink"/>
          </w:rPr>
          <w:t xml:space="preserve">Art. 36 DVBS</w:t>
        </w:r>
      </w:hyperlink>
    </w:p>
    <w:bookmarkEnd w:id="27"/>
    <w:bookmarkStart w:id="28"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numPr>
          <w:ilvl w:val="0"/>
          <w:numId w:val="1006"/>
        </w:numPr>
        <w:pStyle w:val="Compact"/>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numPr>
          <w:ilvl w:val="0"/>
          <w:numId w:val="1007"/>
        </w:numPr>
        <w:pStyle w:val="Compact"/>
      </w:pPr>
      <w:hyperlink r:id="rId25">
        <w:r>
          <w:rPr>
            <w:rStyle w:val="Hyperlink"/>
          </w:rPr>
          <w:t xml:space="preserve">Art. 9 Abs.4 DVBS</w:t>
        </w:r>
      </w:hyperlink>
    </w:p>
    <w:p>
      <w:pPr>
        <w:numPr>
          <w:ilvl w:val="0"/>
          <w:numId w:val="1007"/>
        </w:numPr>
        <w:pStyle w:val="Compact"/>
      </w:pPr>
      <w:hyperlink r:id="rId25">
        <w:r>
          <w:rPr>
            <w:rStyle w:val="Hyperlink"/>
          </w:rPr>
          <w:t xml:space="preserve">Art. 9 Abs.5 DVBS</w:t>
        </w:r>
      </w:hyperlink>
    </w:p>
    <w:p>
      <w:pPr>
        <w:numPr>
          <w:ilvl w:val="0"/>
          <w:numId w:val="1007"/>
        </w:numPr>
        <w:pStyle w:val="Compact"/>
      </w:pPr>
      <w:hyperlink r:id="rId25">
        <w:r>
          <w:rPr>
            <w:rStyle w:val="Hyperlink"/>
          </w:rPr>
          <w:t xml:space="preserve">Art. 24 Abs. 4 DVBS</w:t>
        </w:r>
      </w:hyperlink>
    </w:p>
    <w:bookmarkEnd w:id="28"/>
    <w:bookmarkStart w:id="29"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numPr>
          <w:ilvl w:val="0"/>
          <w:numId w:val="1008"/>
        </w:numPr>
        <w:pStyle w:val="Compact"/>
      </w:pPr>
      <w:r>
        <w:t xml:space="preserve">Welches sind die wichtigsten Punkte, die aus Ihrer Sicht unbedingt in die Präsentation gehören?</w:t>
      </w:r>
    </w:p>
    <w:p>
      <w:pPr>
        <w:pStyle w:val="FirstParagraph"/>
      </w:pPr>
      <w:r>
        <w:t xml:space="preserve">Lösung</w:t>
      </w:r>
    </w:p>
    <w:p>
      <w:pPr>
        <w:pStyle w:val="BodyText"/>
      </w:pPr>
      <w:hyperlink r:id="rId25">
        <w:r>
          <w:rPr>
            <w:rStyle w:val="Hyperlink"/>
          </w:rPr>
          <w:t xml:space="preserve">Art. 52 DVBS</w:t>
        </w:r>
      </w:hyperlink>
      <w:r>
        <w:t xml:space="preserve"> </w:t>
      </w:r>
      <w:r>
        <w:t xml:space="preserve">bis</w:t>
      </w:r>
      <w:r>
        <w:t xml:space="preserve"> </w:t>
      </w:r>
      <w:hyperlink r:id="rId25">
        <w:r>
          <w:rPr>
            <w:rStyle w:val="Hyperlink"/>
          </w:rPr>
          <w:t xml:space="preserve">Art. 58 DVBS</w:t>
        </w:r>
      </w:hyperlink>
    </w:p>
    <w:bookmarkEnd w:id="29"/>
    <w:bookmarkEnd w:id="30"/>
    <w:bookmarkStart w:id="40" w:name="fallbeispiele-zur-dvbs-förderung"/>
    <w:p>
      <w:pPr>
        <w:pStyle w:val="Heading2"/>
      </w:pPr>
      <w:r>
        <w:t xml:space="preserve">Fallbeispiele zur DVBS (Förderung)</w:t>
      </w:r>
    </w:p>
    <w:bookmarkStart w:id="31"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numPr>
          <w:ilvl w:val="0"/>
          <w:numId w:val="1009"/>
        </w:numPr>
        <w:pStyle w:val="Compact"/>
      </w:pPr>
      <w:hyperlink r:id="rId25">
        <w:r>
          <w:rPr>
            <w:rStyle w:val="Hyperlink"/>
          </w:rPr>
          <w:t xml:space="preserve">Art. 21 Abs. 3 DVBS</w:t>
        </w:r>
      </w:hyperlink>
    </w:p>
    <w:p>
      <w:pPr>
        <w:numPr>
          <w:ilvl w:val="0"/>
          <w:numId w:val="1009"/>
        </w:numPr>
        <w:pStyle w:val="Compact"/>
      </w:pPr>
      <w:hyperlink r:id="rId25">
        <w:r>
          <w:rPr>
            <w:rStyle w:val="Hyperlink"/>
          </w:rPr>
          <w:t xml:space="preserve">Art. 21 Abs. 4 DVBS</w:t>
        </w:r>
      </w:hyperlink>
    </w:p>
    <w:p>
      <w:pPr>
        <w:numPr>
          <w:ilvl w:val="0"/>
          <w:numId w:val="1010"/>
        </w:numPr>
        <w:pStyle w:val="Compact"/>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numPr>
          <w:ilvl w:val="0"/>
          <w:numId w:val="1011"/>
        </w:numPr>
        <w:pStyle w:val="Compact"/>
      </w:pPr>
      <w:hyperlink r:id="rId25">
        <w:r>
          <w:rPr>
            <w:rStyle w:val="Hyperlink"/>
          </w:rPr>
          <w:t xml:space="preserve">Art. 20 Abs. 2a DVBS</w:t>
        </w:r>
      </w:hyperlink>
    </w:p>
    <w:bookmarkEnd w:id="31"/>
    <w:bookmarkStart w:id="32"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numPr>
          <w:ilvl w:val="0"/>
          <w:numId w:val="1012"/>
        </w:numPr>
        <w:pStyle w:val="Compact"/>
      </w:pPr>
      <w:r>
        <w:t xml:space="preserve">Was finden Sie dazu in der DVBS?</w:t>
      </w:r>
    </w:p>
    <w:p>
      <w:pPr>
        <w:pStyle w:val="FirstParagraph"/>
      </w:pPr>
      <w:r>
        <w:t xml:space="preserve">Lösung</w:t>
      </w:r>
    </w:p>
    <w:p>
      <w:pPr>
        <w:numPr>
          <w:ilvl w:val="0"/>
          <w:numId w:val="1013"/>
        </w:numPr>
        <w:pStyle w:val="Compact"/>
      </w:pPr>
      <w:r>
        <w:t xml:space="preserve">Art. 5 Abs. 1 DVBS</w:t>
      </w:r>
    </w:p>
    <w:p>
      <w:pPr>
        <w:numPr>
          <w:ilvl w:val="0"/>
          <w:numId w:val="1013"/>
        </w:numPr>
        <w:pStyle w:val="Compact"/>
      </w:pPr>
      <w:r>
        <w:t xml:space="preserve">Art. 5 Abs. 2 DVBS</w:t>
      </w:r>
    </w:p>
    <w:p>
      <w:pPr>
        <w:numPr>
          <w:ilvl w:val="0"/>
          <w:numId w:val="1013"/>
        </w:numPr>
        <w:pStyle w:val="Compact"/>
      </w:pPr>
      <w:r>
        <w:t xml:space="preserve">Art. 23 DVBS</w:t>
      </w:r>
    </w:p>
    <w:bookmarkEnd w:id="32"/>
    <w:bookmarkStart w:id="33"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numPr>
          <w:ilvl w:val="0"/>
          <w:numId w:val="1014"/>
        </w:numPr>
        <w:pStyle w:val="Compact"/>
      </w:pPr>
      <w:r>
        <w:t xml:space="preserve">Welche Antworten finden Sie diesbezüglich in der DVBS?</w:t>
      </w:r>
    </w:p>
    <w:p>
      <w:pPr>
        <w:pStyle w:val="FirstParagraph"/>
      </w:pPr>
      <w:r>
        <w:t xml:space="preserve">Lösung</w:t>
      </w:r>
    </w:p>
    <w:p>
      <w:pPr>
        <w:numPr>
          <w:ilvl w:val="0"/>
          <w:numId w:val="1015"/>
        </w:numPr>
        <w:pStyle w:val="Compact"/>
      </w:pPr>
      <w:r>
        <w:t xml:space="preserve">Art. 3 Abs. 1 DVBS</w:t>
      </w:r>
    </w:p>
    <w:p>
      <w:pPr>
        <w:numPr>
          <w:ilvl w:val="0"/>
          <w:numId w:val="1015"/>
        </w:numPr>
        <w:pStyle w:val="Compact"/>
      </w:pPr>
      <w:r>
        <w:t xml:space="preserve">Art. 4 DVBS</w:t>
      </w:r>
    </w:p>
    <w:p>
      <w:pPr>
        <w:numPr>
          <w:ilvl w:val="0"/>
          <w:numId w:val="1015"/>
        </w:numPr>
        <w:pStyle w:val="Compact"/>
      </w:pPr>
      <w:r>
        <w:t xml:space="preserve">Art. 18 Abs. 1 DVBS</w:t>
      </w:r>
    </w:p>
    <w:p>
      <w:pPr>
        <w:numPr>
          <w:ilvl w:val="0"/>
          <w:numId w:val="1016"/>
        </w:numPr>
        <w:pStyle w:val="Compact"/>
      </w:pPr>
      <w:r>
        <w:t xml:space="preserve">Aufgrund des allseits geforderten Förderpostulats fragen Sie sich auch, wann Sie eigentlich einen Schullaufbahnentscheid genau fällen müssen bzw. dürfen?</w:t>
      </w:r>
    </w:p>
    <w:p>
      <w:pPr>
        <w:pStyle w:val="FirstParagraph"/>
      </w:pPr>
      <w:r>
        <w:t xml:space="preserve">Lösung</w:t>
      </w:r>
    </w:p>
    <w:p>
      <w:pPr>
        <w:numPr>
          <w:ilvl w:val="0"/>
          <w:numId w:val="1017"/>
        </w:numPr>
        <w:pStyle w:val="Compact"/>
      </w:pPr>
      <w:r>
        <w:t xml:space="preserve">Art. 9 Abs. 5</w:t>
      </w:r>
      <w:r>
        <w:t xml:space="preserve"> </w:t>
      </w:r>
      <w:r>
        <w:rPr>
          <w:bCs/>
          <w:b/>
        </w:rPr>
        <w:t xml:space="preserve">also jederzeit!</w:t>
      </w:r>
    </w:p>
    <w:bookmarkEnd w:id="33"/>
    <w:bookmarkStart w:id="39"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numPr>
          <w:ilvl w:val="0"/>
          <w:numId w:val="1018"/>
        </w:numPr>
        <w:pStyle w:val="Compact"/>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numPr>
          <w:ilvl w:val="0"/>
          <w:numId w:val="1019"/>
        </w:numPr>
        <w:pStyle w:val="Compact"/>
      </w:pPr>
      <w:r>
        <w:t xml:space="preserve">Sind Sie dazu verpflichtet?</w:t>
      </w:r>
    </w:p>
    <w:p>
      <w:pPr>
        <w:pStyle w:val="FirstParagraph"/>
      </w:pPr>
      <w:r>
        <w:t xml:space="preserve">Lösung</w:t>
      </w:r>
    </w:p>
    <w:p>
      <w:pPr>
        <w:numPr>
          <w:ilvl w:val="0"/>
          <w:numId w:val="1020"/>
        </w:numPr>
        <w:pStyle w:val="Compact"/>
      </w:pPr>
      <w:r>
        <w:t xml:space="preserve">Art. 6 Abs. 1 DVBS</w:t>
      </w:r>
    </w:p>
    <w:p>
      <w:pPr>
        <w:numPr>
          <w:ilvl w:val="0"/>
          <w:numId w:val="1020"/>
        </w:numPr>
        <w:pStyle w:val="Compact"/>
      </w:pPr>
      <w:r>
        <w:t xml:space="preserve">Art. 6 Abs. 2 DVBS</w:t>
      </w:r>
    </w:p>
    <w:p>
      <w:pPr>
        <w:numPr>
          <w:ilvl w:val="0"/>
          <w:numId w:val="1021"/>
        </w:numPr>
        <w:pStyle w:val="Compact"/>
      </w:pPr>
      <w:r>
        <w:t xml:space="preserve">… was mit den Selbstbeurteilungen durch die Schülerinnen und Schüler geschieht.</w:t>
      </w:r>
    </w:p>
    <w:p>
      <w:pPr>
        <w:numPr>
          <w:ilvl w:val="0"/>
          <w:numId w:val="1022"/>
        </w:numPr>
        <w:pStyle w:val="Compact"/>
      </w:pPr>
      <w:r>
        <w:t xml:space="preserve">Finden Sie heraus, wofür die Selbstbeurteilungen im Verlauf des Schuljahres eingesetzt werden sollen.</w:t>
      </w:r>
    </w:p>
    <w:p>
      <w:pPr>
        <w:pStyle w:val="FirstParagraph"/>
      </w:pPr>
      <w:r>
        <w:t xml:space="preserve">Lösung</w:t>
      </w:r>
    </w:p>
    <w:p>
      <w:pPr>
        <w:numPr>
          <w:ilvl w:val="0"/>
          <w:numId w:val="1023"/>
        </w:numPr>
        <w:pStyle w:val="Compact"/>
      </w:pPr>
      <w:r>
        <w:t xml:space="preserve">Art. 2 Abs. 1 DVBS</w:t>
      </w:r>
    </w:p>
    <w:p>
      <w:pPr>
        <w:numPr>
          <w:ilvl w:val="0"/>
          <w:numId w:val="1023"/>
        </w:numPr>
        <w:pStyle w:val="Compact"/>
      </w:pPr>
      <w:r>
        <w:t xml:space="preserve">Art. 10. Abs. 4 DVBS</w:t>
      </w:r>
    </w:p>
    <w:bookmarkStart w:id="38" w:name="refs"/>
    <w:bookmarkStart w:id="35" w:name="X6b21d7917ee633ae8f816db937a367817afa69a"/>
    <w:p>
      <w:pPr>
        <w:pStyle w:val="Bibliography"/>
      </w:pPr>
      <w:r>
        <w:t xml:space="preserve">Bildungs und Kulturdirektion Kanton Bern. (2019).</w:t>
      </w:r>
      <w:r>
        <w:t xml:space="preserve"> </w:t>
      </w:r>
      <w:r>
        <w:rPr>
          <w:iCs/>
          <w:i/>
        </w:rPr>
        <w:t xml:space="preserve">Information Abweichen aus «wichtigen Gründen» von den Vorschriften</w:t>
      </w:r>
      <w:r>
        <w:t xml:space="preserve">.</w:t>
      </w:r>
      <w:r>
        <w:t xml:space="preserve"> </w:t>
      </w:r>
      <w:hyperlink r:id="rId34">
        <w:r>
          <w:rPr>
            <w:rStyle w:val="Hyperlink"/>
          </w:rPr>
          <w:t xml:space="preserve">https://www.akvb-unterricht.bkd.be.ch/content/dam/akvb-unterricht_bkd/dokumente/de/startseite/regelunterricht/beurteilung-uebertritte/abweichen-von-der-dvbs/information-abweichen-dvbs-langversion-d.pdf</w:t>
        </w:r>
      </w:hyperlink>
    </w:p>
    <w:bookmarkEnd w:id="35"/>
    <w:bookmarkStart w:id="37"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36">
        <w:r>
          <w:rPr>
            <w:rStyle w:val="Hyperlink"/>
          </w:rPr>
          <w:t xml:space="preserve">https://be.lehrplan.ch/lehrplan_printout.php?e=1&amp;k=1</w:t>
        </w:r>
      </w:hyperlink>
    </w:p>
    <w:bookmarkEnd w:id="37"/>
    <w:bookmarkEnd w:id="38"/>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4"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5" Target="https://www.belex.sites.be.ch/app/de/texts_of_law/432.213.11" TargetMode="External" /></Relationships>
</file>

<file path=word/_rels/footnotes.xml.rels><?xml version="1.0" encoding="UTF-8"?><Relationships xmlns="http://schemas.openxmlformats.org/package/2006/relationships"><Relationship Type="http://schemas.openxmlformats.org/officeDocument/2006/relationships/hyperlink" Id="rId36"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4"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5" Target="https://www.belex.sites.be.ch/app/de/texts_of_law/432.213.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Richard Conrardy</dc:creator>
  <dc:language>de</dc:language>
  <cp:keywords/>
  <dcterms:created xsi:type="dcterms:W3CDTF">2024-08-15T11:14:52Z</dcterms:created>
  <dcterms:modified xsi:type="dcterms:W3CDTF">2024-08-15T11:14:52Z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