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Digitalität und Datenschutz</w:t>
      </w:r>
    </w:p>
    <w:p>
      <w:pPr>
        <w:pStyle w:val="Author"/>
      </w:pPr>
      <w:r>
        <w:t xml:space="preserve">Richard Conrardy</w:t>
      </w:r>
    </w:p>
    <w:p>
      <w:pPr>
        <w:pStyle w:val="Date"/>
      </w:pPr>
      <w:r>
        <w:t xml:space="preserve">2025-10-02</w:t>
      </w:r>
    </w:p>
    <w:bookmarkStart w:id="20" w:name="lernziele"/>
    <w:p>
      <w:pPr>
        <w:pStyle w:val="Heading1"/>
      </w:pPr>
      <w:r>
        <w:t xml:space="preserve">Lernziele</w:t>
      </w:r>
    </w:p>
    <w:p>
      <w:pPr>
        <w:pStyle w:val="Compact"/>
        <w:numPr>
          <w:ilvl w:val="0"/>
          <w:numId w:val="1001"/>
        </w:numPr>
      </w:pPr>
      <w:r>
        <w:t xml:space="preserve">Den Begriff Datenschutz differenziert verwenden.</w:t>
      </w:r>
    </w:p>
    <w:p>
      <w:pPr>
        <w:pStyle w:val="Compact"/>
        <w:numPr>
          <w:ilvl w:val="0"/>
          <w:numId w:val="1001"/>
        </w:numPr>
      </w:pPr>
      <w:r>
        <w:t xml:space="preserve">Eigenes Handeln im Berufsalltag hinsichtlich Datenschutz reflektieren.</w:t>
      </w:r>
    </w:p>
    <w:p>
      <w:pPr>
        <w:pStyle w:val="Compact"/>
        <w:numPr>
          <w:ilvl w:val="0"/>
          <w:numId w:val="1001"/>
        </w:numPr>
      </w:pPr>
      <w:r>
        <w:t xml:space="preserve">Fundierte Grundlagen zu Recht, Datensicherheit und soziologischen Aspekten gewinnen.</w:t>
      </w:r>
    </w:p>
    <w:p>
      <w:pPr>
        <w:pStyle w:val="Compact"/>
        <w:numPr>
          <w:ilvl w:val="0"/>
          <w:numId w:val="1001"/>
        </w:numPr>
      </w:pPr>
      <w:r>
        <w:t xml:space="preserve">Ansätze kennen, um Datenschutz im Unterricht zu thematisieren.</w:t>
      </w:r>
    </w:p>
    <w:bookmarkEnd w:id="20"/>
    <w:bookmarkStart w:id="31" w:name="X79da6625a839e6886eecb4152d60bbbba4691bd"/>
    <w:p>
      <w:pPr>
        <w:pStyle w:val="Heading1"/>
      </w:pPr>
      <w:r>
        <w:t xml:space="preserve">Datenschutz (als sozialwissenschaftlicher Begriff)</w:t>
      </w:r>
    </w:p>
    <w:bookmarkStart w:id="21" w:name="X0b1d46ecb3acfe4c46c60964a601e6706ded8a9"/>
    <w:p>
      <w:pPr>
        <w:pStyle w:val="Heading2"/>
      </w:pPr>
      <w:r>
        <w:t xml:space="preserve">Datenschutz als gesellschaftliches Phänomen</w:t>
      </w:r>
    </w:p>
    <w:p>
      <w:pPr>
        <w:pStyle w:val="Compact"/>
        <w:numPr>
          <w:ilvl w:val="0"/>
          <w:numId w:val="1002"/>
        </w:numPr>
      </w:pPr>
      <w:r>
        <w:t xml:space="preserve">Schutz der Privatsphäre und informationellen Selbstbestimmung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Spannungsfeld: individuelle Freiheit vs. gesellschaftliches Interesse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Vertrauen in Institutionen (Schule, Staat, Wirtschaft)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Kulturelle Unterschiede (Europa / USA / Asien)</w:t>
      </w:r>
    </w:p>
    <w:bookmarkEnd w:id="21"/>
    <w:bookmarkStart w:id="26" w:name="chilling-effect"/>
    <w:p>
      <w:pPr>
        <w:pStyle w:val="Heading2"/>
      </w:pPr>
      <w:r>
        <w:t xml:space="preserve">Chilling effect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hilling"/>
          <w:p>
            <w:pPr>
              <w:pStyle w:val="Compact"/>
              <w:jc w:val="center"/>
            </w:pPr>
            <w:r>
              <w:drawing>
                <wp:inline>
                  <wp:extent cx="5334000" cy="2281242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Datenschutz/chillingeffect.drawio.sv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8124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Individuals’ chilling effects</w:t>
            </w:r>
            <w:r>
              <w:t xml:space="preserve"> </w:t>
            </w:r>
            <w:r>
              <w:t xml:space="preserve">[@buchi2022, S.3]</w:t>
            </w:r>
            <w:r>
              <w:t xml:space="preserve">, eigene Darstellung</w:t>
            </w:r>
          </w:p>
          <w:bookmarkEnd w:id="25"/>
        </w:tc>
      </w:tr>
    </w:tbl>
    <w:bookmarkEnd w:id="26"/>
    <w:bookmarkStart w:id="27" w:name="privacy-paradox-barnes2006"/>
    <w:p>
      <w:pPr>
        <w:pStyle w:val="Heading2"/>
      </w:pPr>
      <w:r>
        <w:t xml:space="preserve">Privacy paradox</w:t>
      </w:r>
      <w:r>
        <w:t xml:space="preserve"> </w:t>
      </w:r>
      <w:r>
        <w:t xml:space="preserve">[@barnes2006]</w:t>
      </w:r>
    </w:p>
    <w:p>
      <w:pPr>
        <w:pStyle w:val="Compact"/>
        <w:numPr>
          <w:ilvl w:val="0"/>
          <w:numId w:val="1003"/>
        </w:numPr>
      </w:pPr>
      <w:r>
        <w:t xml:space="preserve">Wunsch nach Privatsphäre</w:t>
      </w:r>
    </w:p>
    <w:p>
      <w:pPr>
        <w:pStyle w:val="Compact"/>
        <w:numPr>
          <w:ilvl w:val="0"/>
          <w:numId w:val="1003"/>
        </w:numPr>
      </w:pPr>
      <w:r>
        <w:t xml:space="preserve">Handeln als ob es egal wäre</w:t>
      </w:r>
    </w:p>
    <w:p>
      <w:pPr>
        <w:pStyle w:val="FirstParagraph"/>
      </w:pPr>
      <w:r>
        <w:t xml:space="preserve">Begründungen</w:t>
      </w:r>
      <w:r>
        <w:t xml:space="preserve"> </w:t>
      </w:r>
      <w:r>
        <w:t xml:space="preserve">@waldman2020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Cognitive biases</w:t>
      </w:r>
    </w:p>
    <w:p>
      <w:pPr>
        <w:pStyle w:val="Compact"/>
        <w:numPr>
          <w:ilvl w:val="0"/>
          <w:numId w:val="1004"/>
        </w:numPr>
      </w:pPr>
      <w:r>
        <w:t xml:space="preserve">dark patterns</w:t>
      </w:r>
    </w:p>
    <w:bookmarkEnd w:id="27"/>
    <w:bookmarkStart w:id="28" w:name="diskussionsimpuls-5-min"/>
    <w:p>
      <w:pPr>
        <w:pStyle w:val="Heading2"/>
      </w:pPr>
      <w:r>
        <w:t xml:space="preserve">Diskussionsimpuls (5 Min)</w:t>
      </w:r>
    </w:p>
    <w:p>
      <w:pPr>
        <w:pStyle w:val="Compact"/>
        <w:numPr>
          <w:ilvl w:val="0"/>
          <w:numId w:val="1005"/>
        </w:numPr>
      </w:pPr>
      <w:r>
        <w:t xml:space="preserve">Wie gehen Sie im Alltag mit Ihren Daten um?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Beispiele für bewusste vs. unbewusste Datenfreigaben.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Besprechen Sie mit einer Person neben Ihnen.</w:t>
      </w:r>
    </w:p>
    <w:bookmarkEnd w:id="28"/>
    <w:bookmarkStart w:id="29" w:name="fragen-aus-der-soziologie"/>
    <w:p>
      <w:pPr>
        <w:pStyle w:val="Heading2"/>
      </w:pPr>
      <w:r>
        <w:t xml:space="preserve">Fragen aus der Soziologie</w:t>
      </w:r>
    </w:p>
    <w:p>
      <w:pPr>
        <w:pStyle w:val="Compact"/>
        <w:numPr>
          <w:ilvl w:val="0"/>
          <w:numId w:val="1006"/>
        </w:numPr>
      </w:pPr>
      <w:r>
        <w:t xml:space="preserve">Wem „gehören“ Daten?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Welche Machtstrukturen entstehen durch Datensammlung?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Wie verändert Überwachung das Verhalten?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Datenschutz als Menschenrecht (Art. 8 EMRK)</w:t>
      </w:r>
    </w:p>
    <w:bookmarkEnd w:id="29"/>
    <w:bookmarkStart w:id="30" w:name="mini-übung-10-min"/>
    <w:p>
      <w:pPr>
        <w:pStyle w:val="Heading2"/>
      </w:pPr>
      <w:r>
        <w:t xml:space="preserve">Mini-Übung (10 Min)</w:t>
      </w:r>
    </w:p>
    <w:p>
      <w:pPr>
        <w:pStyle w:val="Compact"/>
        <w:numPr>
          <w:ilvl w:val="0"/>
          <w:numId w:val="1007"/>
        </w:numPr>
      </w:pPr>
      <w:r>
        <w:t xml:space="preserve">Wählen Sie eine Social-Media-Plattform.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Welche Daten geben Nutzer*innen preis?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Welche Risiken entstehen daraus? Wer profitiert?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Notieren Sie 2–3 Beobachtungen. Austausch in der Gruppe.</w:t>
      </w:r>
    </w:p>
    <w:bookmarkEnd w:id="30"/>
    <w:bookmarkEnd w:id="31"/>
    <w:bookmarkStart w:id="37" w:name="datenschutzrecht"/>
    <w:p>
      <w:pPr>
        <w:pStyle w:val="Heading1"/>
      </w:pPr>
      <w:r>
        <w:t xml:space="preserve">Datenschutzrecht</w:t>
      </w:r>
    </w:p>
    <w:bookmarkStart w:id="33" w:name="Xd02dec0e3ad441b43902ef4287cf9b364d811e5"/>
    <w:p>
      <w:pPr>
        <w:pStyle w:val="Heading2"/>
      </w:pPr>
      <w:r>
        <w:t xml:space="preserve">Bundesverfassung der Schweizerischen Eidgenossenschaft</w:t>
      </w:r>
    </w:p>
    <w:bookmarkStart w:id="32" w:name="art.-13-schutz-der-privatsphäre"/>
    <w:p>
      <w:pPr>
        <w:pStyle w:val="Heading3"/>
      </w:pPr>
      <w:r>
        <w:t xml:space="preserve">Art. 13 Schutz der Privatsphäre</w:t>
      </w:r>
    </w:p>
    <w:p>
      <w:pPr>
        <w:pStyle w:val="FirstParagraph"/>
      </w:pPr>
      <w:r>
        <w:t xml:space="preserve">Jede Person hat Anspruch auf Schutz vor Missbrauch ihrer persönlichen Daten.</w:t>
      </w:r>
    </w:p>
    <w:bookmarkEnd w:id="32"/>
    <w:bookmarkEnd w:id="33"/>
    <w:bookmarkStart w:id="34" w:name="Xb984d7382ce05482fbef9b5b89fe5b7fcc57dd9"/>
    <w:p>
      <w:pPr>
        <w:pStyle w:val="Heading2"/>
      </w:pPr>
      <w:r>
        <w:t xml:space="preserve">Kantonales Datenschutzgesetz (KDSG, Kanton Bern)</w:t>
      </w:r>
    </w:p>
    <w:p>
      <w:pPr>
        <w:pStyle w:val="Compact"/>
        <w:numPr>
          <w:ilvl w:val="0"/>
          <w:numId w:val="1008"/>
        </w:numPr>
      </w:pPr>
      <w:r>
        <w:t xml:space="preserve">Gegenwärtig in Überarbeitung</w:t>
      </w:r>
      <w:r>
        <w:br/>
      </w:r>
    </w:p>
    <w:p>
      <w:pPr>
        <w:pStyle w:val="Compact"/>
        <w:numPr>
          <w:ilvl w:val="0"/>
          <w:numId w:val="1008"/>
        </w:numPr>
      </w:pPr>
      <w:r>
        <w:t xml:space="preserve">Keine Bussen</w:t>
      </w:r>
      <w:r>
        <w:br/>
      </w:r>
    </w:p>
    <w:p>
      <w:pPr>
        <w:pStyle w:val="Compact"/>
        <w:numPr>
          <w:ilvl w:val="0"/>
          <w:numId w:val="1008"/>
        </w:numPr>
      </w:pPr>
      <w:r>
        <w:t xml:space="preserve">Besonders schützenswerte Daten: persönlicher Geheimbereich (Art. 3 Abs. 1)</w:t>
      </w:r>
      <w:r>
        <w:br/>
      </w:r>
    </w:p>
    <w:p>
      <w:pPr>
        <w:pStyle w:val="Compact"/>
        <w:numPr>
          <w:ilvl w:val="0"/>
          <w:numId w:val="1008"/>
        </w:numPr>
      </w:pPr>
      <w:r>
        <w:t xml:space="preserve">Gemeinden: eigene Aufsichtsstelle (Art. 33 Abs. 1)</w:t>
      </w:r>
    </w:p>
    <w:bookmarkEnd w:id="34"/>
    <w:bookmarkStart w:id="35" w:name="datenschutzgesetz-dsg-bund"/>
    <w:p>
      <w:pPr>
        <w:pStyle w:val="Heading2"/>
      </w:pPr>
      <w:r>
        <w:t xml:space="preserve">Datenschutzgesetz (DSG, Bund)</w:t>
      </w:r>
    </w:p>
    <w:p>
      <w:pPr>
        <w:pStyle w:val="Compact"/>
        <w:numPr>
          <w:ilvl w:val="0"/>
          <w:numId w:val="1009"/>
        </w:numPr>
      </w:pPr>
      <w:r>
        <w:t xml:space="preserve">Bundesgesetz, kompatibel mit DSGVO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Ziel: Schutz der Persönlichkeit und Grundrechte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Pflichten: Transparenz, Zweckbindung, Datensparsamkeit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Rechte: Auskunft, Löschung, Berichtigung</w:t>
      </w:r>
    </w:p>
    <w:bookmarkEnd w:id="35"/>
    <w:bookmarkStart w:id="36" w:name="partnerarbeit-5-min"/>
    <w:p>
      <w:pPr>
        <w:pStyle w:val="Heading2"/>
      </w:pPr>
      <w:r>
        <w:t xml:space="preserve">Partnerarbeit (5 Min)</w:t>
      </w:r>
    </w:p>
    <w:p>
      <w:pPr>
        <w:pStyle w:val="Compact"/>
        <w:numPr>
          <w:ilvl w:val="0"/>
          <w:numId w:val="1010"/>
        </w:numPr>
      </w:pPr>
      <w:r>
        <w:t xml:space="preserve">Nennen Sie zwei Pflichten für Verantwortliche im DSG.</w:t>
      </w:r>
      <w:r>
        <w:br/>
      </w:r>
    </w:p>
    <w:p>
      <w:pPr>
        <w:pStyle w:val="Compact"/>
        <w:numPr>
          <w:ilvl w:val="0"/>
          <w:numId w:val="1010"/>
        </w:numPr>
      </w:pPr>
      <w:r>
        <w:t xml:space="preserve">Wie wirken diese konkret im Schulkontext?</w:t>
      </w:r>
    </w:p>
    <w:bookmarkEnd w:id="36"/>
    <w:bookmarkEnd w:id="37"/>
    <w:bookmarkStart w:id="42" w:name="datensicherheit"/>
    <w:p>
      <w:pPr>
        <w:pStyle w:val="Heading1"/>
      </w:pPr>
      <w:r>
        <w:t xml:space="preserve">Datensicherheit</w:t>
      </w:r>
    </w:p>
    <w:bookmarkStart w:id="38" w:name="die-drei-schutzziele-zentral"/>
    <w:p>
      <w:pPr>
        <w:pStyle w:val="Heading2"/>
      </w:pPr>
      <w:r>
        <w:t xml:space="preserve">Die drei Schutzziele (zentral)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Vertraulichkeit</w:t>
      </w:r>
      <w:r>
        <w:t xml:space="preserve"> </w:t>
      </w:r>
      <w:r>
        <w:t xml:space="preserve">– Zugriff nur für Befugte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Integrität</w:t>
      </w:r>
      <w:r>
        <w:t xml:space="preserve"> </w:t>
      </w:r>
      <w:r>
        <w:t xml:space="preserve">– Daten sind vollständig und unverändert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Verfügbarkeit</w:t>
      </w:r>
      <w:r>
        <w:t xml:space="preserve"> </w:t>
      </w:r>
      <w:r>
        <w:t xml:space="preserve">– Daten sind bei Bedarf zugänglich</w:t>
      </w:r>
    </w:p>
    <w:bookmarkEnd w:id="38"/>
    <w:bookmarkStart w:id="39" w:name="X8a6422b89df8b6265abf7d2c47ca9624557dc70"/>
    <w:p>
      <w:pPr>
        <w:pStyle w:val="Heading2"/>
      </w:pPr>
      <w:r>
        <w:t xml:space="preserve">Technische und organisatorische Massnahmen</w:t>
      </w:r>
    </w:p>
    <w:p>
      <w:pPr>
        <w:pStyle w:val="Compact"/>
        <w:numPr>
          <w:ilvl w:val="0"/>
          <w:numId w:val="1012"/>
        </w:numPr>
      </w:pPr>
      <w:r>
        <w:t xml:space="preserve">Technisch: Verschlüsselung, starke Passwörter/2FA, Zugriffsbeschränkung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Organisatorisch: Schulungen, klare Zuständigkeiten, Notfall-/Backup-Pläne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Grundsatz: Datenschutz ohne Datensicherheit ist nicht möglich.</w:t>
      </w:r>
    </w:p>
    <w:bookmarkEnd w:id="39"/>
    <w:bookmarkStart w:id="40" w:name="beispiele-aus-der-schule"/>
    <w:p>
      <w:pPr>
        <w:pStyle w:val="Heading2"/>
      </w:pPr>
      <w:r>
        <w:t xml:space="preserve">Beispiele aus der Schule</w:t>
      </w:r>
    </w:p>
    <w:p>
      <w:pPr>
        <w:pStyle w:val="Compact"/>
        <w:numPr>
          <w:ilvl w:val="0"/>
          <w:numId w:val="1013"/>
        </w:numPr>
      </w:pPr>
      <w:r>
        <w:t xml:space="preserve">Notenverwaltung und Zeugnisdruck</w:t>
      </w:r>
      <w:r>
        <w:br/>
      </w:r>
    </w:p>
    <w:p>
      <w:pPr>
        <w:pStyle w:val="Compact"/>
        <w:numPr>
          <w:ilvl w:val="0"/>
          <w:numId w:val="1013"/>
        </w:numPr>
      </w:pPr>
      <w:r>
        <w:t xml:space="preserve">Diagnosen, Förderpläne, Elterndaten</w:t>
      </w:r>
      <w:r>
        <w:br/>
      </w:r>
    </w:p>
    <w:p>
      <w:pPr>
        <w:pStyle w:val="Compact"/>
        <w:numPr>
          <w:ilvl w:val="0"/>
          <w:numId w:val="1013"/>
        </w:numPr>
      </w:pPr>
      <w:r>
        <w:t xml:space="preserve">Cloud-Dienste &amp; Serverstandort</w:t>
      </w:r>
      <w:r>
        <w:br/>
      </w:r>
    </w:p>
    <w:p>
      <w:pPr>
        <w:pStyle w:val="Compact"/>
        <w:numPr>
          <w:ilvl w:val="0"/>
          <w:numId w:val="1013"/>
        </w:numPr>
      </w:pPr>
      <w:r>
        <w:t xml:space="preserve">Videokonferenzen und Aufzeichnungen</w:t>
      </w:r>
    </w:p>
    <w:bookmarkEnd w:id="40"/>
    <w:bookmarkStart w:id="41" w:name="gruppenarbeit-risikoanalyse-10-min"/>
    <w:p>
      <w:pPr>
        <w:pStyle w:val="Heading2"/>
      </w:pPr>
      <w:r>
        <w:t xml:space="preserve">Gruppenarbeit: Risikoanalyse (10 Min)</w:t>
      </w:r>
    </w:p>
    <w:p>
      <w:pPr>
        <w:pStyle w:val="Compact"/>
        <w:numPr>
          <w:ilvl w:val="0"/>
          <w:numId w:val="1014"/>
        </w:numPr>
      </w:pPr>
      <w:r>
        <w:t xml:space="preserve">Szenario wählen (z.B. Cloud-Dienst, Eltern-Chat, Videounterricht).</w:t>
      </w:r>
      <w:r>
        <w:br/>
      </w:r>
    </w:p>
    <w:p>
      <w:pPr>
        <w:pStyle w:val="Compact"/>
        <w:numPr>
          <w:ilvl w:val="0"/>
          <w:numId w:val="1014"/>
        </w:numPr>
      </w:pPr>
      <w:r>
        <w:t xml:space="preserve">Risiken für Vertraulichkeit, Integrität, Verfügbarkeit sammeln.</w:t>
      </w:r>
      <w:r>
        <w:br/>
      </w:r>
    </w:p>
    <w:p>
      <w:pPr>
        <w:pStyle w:val="Compact"/>
        <w:numPr>
          <w:ilvl w:val="0"/>
          <w:numId w:val="1014"/>
        </w:numPr>
      </w:pPr>
      <w:r>
        <w:t xml:space="preserve">2–3 Massnahmen zur Reduktion festhalten. Austausch in der Gruppe.</w:t>
      </w:r>
    </w:p>
    <w:bookmarkEnd w:id="41"/>
    <w:bookmarkEnd w:id="42"/>
    <w:bookmarkStart w:id="48" w:name="X747f82f5ffa8dd9abe2b6b9ebf3975de20d268d"/>
    <w:p>
      <w:pPr>
        <w:pStyle w:val="Heading1"/>
      </w:pPr>
      <w:r>
        <w:t xml:space="preserve">Wissenschaftliche Perspektiven auf Datenschutz</w:t>
      </w:r>
    </w:p>
    <w:bookmarkStart w:id="43" w:name="privacy-paradox"/>
    <w:p>
      <w:pPr>
        <w:pStyle w:val="Heading2"/>
      </w:pPr>
      <w:r>
        <w:t xml:space="preserve">Privacy Paradox</w:t>
      </w:r>
    </w:p>
    <w:p>
      <w:pPr>
        <w:pStyle w:val="Compact"/>
        <w:numPr>
          <w:ilvl w:val="0"/>
          <w:numId w:val="1015"/>
        </w:numPr>
      </w:pPr>
      <w:r>
        <w:t xml:space="preserve">Menschen halten Datenschutz für wichtig, handeln aber oft widersprüchlich.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Mögliche Gründe: Wissenslücken, wahrgenommener Nutzen, Gewohnheit und soziale Normen.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Befunde: Entscheidungen häufig spontan und kontextabhängig.</w:t>
      </w:r>
    </w:p>
    <w:bookmarkEnd w:id="43"/>
    <w:bookmarkStart w:id="44" w:name="privacyconvenience-trade-off"/>
    <w:p>
      <w:pPr>
        <w:pStyle w:val="Heading2"/>
      </w:pPr>
      <w:r>
        <w:t xml:space="preserve">Privacy–Convenience Trade-off</w:t>
      </w:r>
    </w:p>
    <w:p>
      <w:pPr>
        <w:pStyle w:val="Compact"/>
        <w:numPr>
          <w:ilvl w:val="0"/>
          <w:numId w:val="1016"/>
        </w:numPr>
      </w:pPr>
      <w:r>
        <w:t xml:space="preserve">Höherer Komfort erhöht die Zustimmung zur Datenfreigabe (z.B. Standortfreigabe für Navigation).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Auch sensible Daten werden eher geteilt, wenn der unmittelbare Nutzen hoch erscheint.</w:t>
      </w:r>
    </w:p>
    <w:bookmarkEnd w:id="44"/>
    <w:bookmarkStart w:id="45" w:name="empirische-befunde-kurzüberblick"/>
    <w:p>
      <w:pPr>
        <w:pStyle w:val="Heading2"/>
      </w:pPr>
      <w:r>
        <w:t xml:space="preserve">Empirische Befunde (Kurzüberblick)</w:t>
      </w:r>
    </w:p>
    <w:p>
      <w:pPr>
        <w:pStyle w:val="Compact"/>
        <w:numPr>
          <w:ilvl w:val="0"/>
          <w:numId w:val="1017"/>
        </w:numPr>
      </w:pPr>
      <w:r>
        <w:t xml:space="preserve">Barnes (2006): Jugendliche teilen online oft mehr Informationen als offline – trotz Risikobewusstsein.</w:t>
      </w:r>
      <w:r>
        <w:br/>
      </w:r>
    </w:p>
    <w:p>
      <w:pPr>
        <w:pStyle w:val="Compact"/>
        <w:numPr>
          <w:ilvl w:val="0"/>
          <w:numId w:val="1017"/>
        </w:numPr>
      </w:pPr>
      <w:r>
        <w:t xml:space="preserve">Acquisti, Brandimarte &amp; Loewenstein (2015): Datenschutzentscheidungen sind stark kontext- und emotionsabhängig.</w:t>
      </w:r>
    </w:p>
    <w:bookmarkEnd w:id="45"/>
    <w:bookmarkStart w:id="46" w:name="visualisierung-komfort-vs.-akzeptanz"/>
    <w:p>
      <w:pPr>
        <w:pStyle w:val="Heading2"/>
      </w:pPr>
      <w:r>
        <w:t xml:space="preserve">Visualisierung: Komfort vs. Akzeptanz</w:t>
      </w:r>
    </w:p>
    <w:bookmarkEnd w:id="46"/>
    <w:bookmarkStart w:id="47" w:name="diskussionsimpuls-5-min-1"/>
    <w:p>
      <w:pPr>
        <w:pStyle w:val="Heading2"/>
      </w:pPr>
      <w:r>
        <w:t xml:space="preserve">Diskussionsimpuls (5 Min)</w:t>
      </w:r>
    </w:p>
    <w:p>
      <w:pPr>
        <w:pStyle w:val="Compact"/>
        <w:numPr>
          <w:ilvl w:val="0"/>
          <w:numId w:val="1018"/>
        </w:numPr>
      </w:pPr>
      <w:r>
        <w:t xml:space="preserve">Wo haben Sie persönlich Komfort über Datenschutz gestellt?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Was würden Sie heute anders entscheiden – und warum?</w:t>
      </w:r>
    </w:p>
    <w:bookmarkEnd w:id="47"/>
    <w:bookmarkEnd w:id="48"/>
    <w:bookmarkStart w:id="51" w:name="datenschutz-im-unterricht-umsetzung"/>
    <w:p>
      <w:pPr>
        <w:pStyle w:val="Heading1"/>
      </w:pPr>
      <w:r>
        <w:t xml:space="preserve">Datenschutz im Unterricht (Umsetzung)</w:t>
      </w:r>
    </w:p>
    <w:bookmarkStart w:id="49" w:name="pädagogische-ansätze"/>
    <w:p>
      <w:pPr>
        <w:pStyle w:val="Heading2"/>
      </w:pPr>
      <w:r>
        <w:t xml:space="preserve">Pädagogische Ansätze</w:t>
      </w:r>
    </w:p>
    <w:p>
      <w:pPr>
        <w:pStyle w:val="Compact"/>
        <w:numPr>
          <w:ilvl w:val="0"/>
          <w:numId w:val="1019"/>
        </w:numPr>
      </w:pPr>
      <w:r>
        <w:t xml:space="preserve">Datenschutz im Rahmen der Medienbildung verankern</w:t>
      </w:r>
      <w:r>
        <w:br/>
      </w:r>
    </w:p>
    <w:p>
      <w:pPr>
        <w:pStyle w:val="Compact"/>
        <w:numPr>
          <w:ilvl w:val="0"/>
          <w:numId w:val="1019"/>
        </w:numPr>
      </w:pPr>
      <w:r>
        <w:t xml:space="preserve">App-/Web-Analyse: Welche Daten werden gesammelt?</w:t>
      </w:r>
      <w:r>
        <w:br/>
      </w:r>
    </w:p>
    <w:p>
      <w:pPr>
        <w:pStyle w:val="Compact"/>
        <w:numPr>
          <w:ilvl w:val="0"/>
          <w:numId w:val="1019"/>
        </w:numPr>
      </w:pPr>
      <w:r>
        <w:t xml:space="preserve">Diskussion zu digitalen Spuren und Profiling</w:t>
      </w:r>
      <w:r>
        <w:br/>
      </w:r>
    </w:p>
    <w:p>
      <w:pPr>
        <w:pStyle w:val="Compact"/>
        <w:numPr>
          <w:ilvl w:val="0"/>
          <w:numId w:val="1019"/>
        </w:numPr>
      </w:pPr>
      <w:r>
        <w:t xml:space="preserve">Reflexion zu Rollen (Schüler*in, Lehrperson, Eltern, Anbieter)</w:t>
      </w:r>
    </w:p>
    <w:bookmarkEnd w:id="49"/>
    <w:bookmarkStart w:id="50" w:name="unterrichtsidee-15-min"/>
    <w:p>
      <w:pPr>
        <w:pStyle w:val="Heading2"/>
      </w:pPr>
      <w:r>
        <w:t xml:space="preserve">Unterrichtsidee (15 Min)</w:t>
      </w:r>
    </w:p>
    <w:p>
      <w:pPr>
        <w:pStyle w:val="Compact"/>
        <w:numPr>
          <w:ilvl w:val="0"/>
          <w:numId w:val="1020"/>
        </w:numPr>
      </w:pPr>
      <w:r>
        <w:t xml:space="preserve">In Zweiergruppen eine Mini-Unterrichtseinheit (20 Min) skizzieren.</w:t>
      </w:r>
      <w:r>
        <w:br/>
      </w:r>
    </w:p>
    <w:p>
      <w:pPr>
        <w:pStyle w:val="Compact"/>
        <w:numPr>
          <w:ilvl w:val="0"/>
          <w:numId w:val="1020"/>
        </w:numPr>
      </w:pPr>
      <w:r>
        <w:t xml:space="preserve">Ziel: Schüler*innen können Risiken benennen und informierte Entscheidungen treffen.</w:t>
      </w:r>
      <w:r>
        <w:br/>
      </w:r>
    </w:p>
    <w:p>
      <w:pPr>
        <w:pStyle w:val="Compact"/>
        <w:numPr>
          <w:ilvl w:val="0"/>
          <w:numId w:val="1020"/>
        </w:numPr>
      </w:pPr>
      <w:r>
        <w:t xml:space="preserve">Beziehen Sie rechtliche Aspekte, Schutzziele und soziologische Perspektiven ein.</w:t>
      </w:r>
      <w:r>
        <w:br/>
      </w:r>
    </w:p>
    <w:p>
      <w:pPr>
        <w:pStyle w:val="Compact"/>
        <w:numPr>
          <w:ilvl w:val="0"/>
          <w:numId w:val="1020"/>
        </w:numPr>
      </w:pPr>
      <w:r>
        <w:t xml:space="preserve">Kurzer Gruppenaustausch (ohne Plenumspräsentation).</w:t>
      </w:r>
    </w:p>
    <w:bookmarkEnd w:id="50"/>
    <w:bookmarkEnd w:id="51"/>
    <w:bookmarkStart w:id="52" w:name="reflexion"/>
    <w:p>
      <w:pPr>
        <w:pStyle w:val="Heading1"/>
      </w:pPr>
      <w:r>
        <w:t xml:space="preserve">Reflexion</w:t>
      </w:r>
    </w:p>
    <w:p>
      <w:pPr>
        <w:pStyle w:val="Compact"/>
        <w:numPr>
          <w:ilvl w:val="0"/>
          <w:numId w:val="1021"/>
        </w:numPr>
      </w:pPr>
      <w:r>
        <w:t xml:space="preserve">Wie beeinflussen meine Einstellungen zum Datenschutz mein Handeln als Lehrperson?</w:t>
      </w:r>
      <w:r>
        <w:br/>
      </w:r>
    </w:p>
    <w:p>
      <w:pPr>
        <w:pStyle w:val="Compact"/>
        <w:numPr>
          <w:ilvl w:val="0"/>
          <w:numId w:val="1021"/>
        </w:numPr>
      </w:pPr>
      <w:r>
        <w:t xml:space="preserve">Wo entstehen Zielkonflikte zwischen Organisation und Datenschutz?</w:t>
      </w:r>
      <w:r>
        <w:br/>
      </w:r>
    </w:p>
    <w:p>
      <w:pPr>
        <w:pStyle w:val="Compact"/>
        <w:numPr>
          <w:ilvl w:val="0"/>
          <w:numId w:val="1021"/>
        </w:numPr>
      </w:pPr>
      <w:r>
        <w:t xml:space="preserve">Welche Strategien setze ich ab morgen um?</w:t>
      </w:r>
    </w:p>
    <w:bookmarkEnd w:id="52"/>
    <w:bookmarkStart w:id="54" w:name="quellen-weiterführendes"/>
    <w:p>
      <w:pPr>
        <w:pStyle w:val="Heading1"/>
      </w:pPr>
      <w:r>
        <w:t xml:space="preserve">Quellen &amp; Weiterführendes</w:t>
      </w:r>
    </w:p>
    <w:p>
      <w:pPr>
        <w:pStyle w:val="Compact"/>
        <w:numPr>
          <w:ilvl w:val="0"/>
          <w:numId w:val="1022"/>
        </w:numPr>
      </w:pPr>
      <w:r>
        <w:t xml:space="preserve">EDÖB – Eidgenössischer Datenschutz- und Öffentlichkeitsbeauftragter</w:t>
      </w:r>
      <w:r>
        <w:br/>
      </w:r>
    </w:p>
    <w:p>
      <w:pPr>
        <w:pStyle w:val="Compact"/>
        <w:numPr>
          <w:ilvl w:val="0"/>
          <w:numId w:val="1022"/>
        </w:numPr>
      </w:pPr>
      <w:r>
        <w:t xml:space="preserve">KDSG Kanton Bern – Datenschutzgesetz des Kantons Bern</w:t>
      </w:r>
      <w:r>
        <w:br/>
      </w:r>
    </w:p>
    <w:p>
      <w:pPr>
        <w:pStyle w:val="Compact"/>
        <w:numPr>
          <w:ilvl w:val="0"/>
          <w:numId w:val="1022"/>
        </w:numPr>
      </w:pPr>
      <w:r>
        <w:t xml:space="preserve">DSG Schweiz – Bundesgesetz über den Datenschutz</w:t>
      </w:r>
      <w:r>
        <w:br/>
      </w:r>
    </w:p>
    <w:p>
      <w:pPr>
        <w:pStyle w:val="Compact"/>
        <w:numPr>
          <w:ilvl w:val="0"/>
          <w:numId w:val="1022"/>
        </w:numPr>
      </w:pPr>
      <w:r>
        <w:t xml:space="preserve">Educa.ch – Datenschutz im Bildungsbereich</w:t>
      </w:r>
      <w:r>
        <w:br/>
      </w:r>
    </w:p>
    <w:p>
      <w:pPr>
        <w:pStyle w:val="Compact"/>
        <w:numPr>
          <w:ilvl w:val="0"/>
          <w:numId w:val="1022"/>
        </w:numPr>
      </w:pPr>
      <w:r>
        <w:t xml:space="preserve">Acquisti, Brandimarte &amp; Loewenstein (2015) – Privacy and human behavior in the age of information</w:t>
      </w:r>
      <w:r>
        <w:br/>
      </w:r>
    </w:p>
    <w:p>
      <w:pPr>
        <w:pStyle w:val="Compact"/>
        <w:numPr>
          <w:ilvl w:val="0"/>
          <w:numId w:val="1022"/>
        </w:numPr>
      </w:pPr>
      <w:r>
        <w:t xml:space="preserve">Barnes (2006) – „Privacy Paradox“ bei Jugendlichen</w:t>
      </w:r>
    </w:p>
    <w:bookmarkStart w:id="53" w:name="bibliographie"/>
    <w:p>
      <w:pPr>
        <w:pStyle w:val="Heading2"/>
      </w:pPr>
      <w:r>
        <w:t xml:space="preserve">Bibliographie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Digitalität und Datenschutz</dc:title>
  <dc:creator>Richard Conrardy</dc:creator>
  <cp:keywords/>
  <dcterms:created xsi:type="dcterms:W3CDTF">2026-02-25T07:58:10Z</dcterms:created>
  <dcterms:modified xsi:type="dcterms:W3CDTF">2026-02-25T07:58:10Z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2025-10-02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institute">
    <vt:lpwstr>PHBern, IS1</vt:lpwstr>
  </property>
  <property fmtid="{D5CDD505-2E9C-101B-9397-08002B2CF9AE}" pid="12" name="institutes">
    <vt:lpwstr/>
  </property>
  <property fmtid="{D5CDD505-2E9C-101B-9397-08002B2CF9AE}" pid="13" name="labels">
    <vt:lpwstr/>
  </property>
  <property fmtid="{D5CDD505-2E9C-101B-9397-08002B2CF9AE}" pid="14" name="room">
    <vt:lpwstr>B302</vt:lpwstr>
  </property>
  <property fmtid="{D5CDD505-2E9C-101B-9397-08002B2CF9AE}" pid="15" name="toc-title">
    <vt:lpwstr>Table of contents</vt:lpwstr>
  </property>
</Properties>
</file>