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43.webp" ContentType="image/webp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2025-10-01</w:t>
      </w:r>
    </w:p>
    <w:bookmarkStart w:id="31" w:name="rekapitulation"/>
    <w:p>
      <w:pPr>
        <w:pStyle w:val="Heading1"/>
      </w:pPr>
      <w:r>
        <w:t xml:space="preserve">Rekapitulation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bookmarkStart w:id="2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Neben Reliabilität und Validität sollten bei digitalen Medien auch</w:t>
      </w:r>
      <w:r>
        <w:t xml:space="preserve"> </w:t>
      </w:r>
      <w:r>
        <w:rPr>
          <w:b/>
          <w:bCs/>
        </w:rPr>
        <w:t xml:space="preserve">Fairness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Praktikabilität</w:t>
      </w:r>
      <w:r>
        <w:t xml:space="preserve"> </w:t>
      </w:r>
      <w:r>
        <w:t xml:space="preserve">beachtet werden.</w:t>
      </w:r>
    </w:p>
    <w:p>
      <w:pPr>
        <w:pStyle w:val="BodyText"/>
      </w:pPr>
      <w:r>
        <w:t xml:space="preserve">Wie verändert sich die Aussagekraft einer Beurteilung (z.B. E-Portfolio) wenn es digital stattfindet?</w:t>
      </w:r>
    </w:p>
    <w:bookmarkEnd w:id="21"/>
    <w:bookmarkStart w:id="23" w:name="feedback"/>
    <w:p>
      <w:pPr>
        <w:pStyle w:val="Heading2"/>
      </w:pPr>
      <w:r>
        <w:t xml:space="preserve">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Moderatoreffekte</w:t>
            </w:r>
            <w:r>
              <w:t xml:space="preserve"> </w:t>
            </w:r>
            <w:r>
              <w:t xml:space="preserve">[@wisniewski2020, S.11]</w:t>
            </w:r>
            <w:r>
              <w:t xml:space="preserve">, gekürzt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C.I.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Research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Controlled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[0.37–0.46]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Pre-post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[0.56–0.69]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measure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Cognitive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[0.46–0.55]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[0.23–0.42]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[0.34–0.92]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Behavioral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[−0.09–1.06]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Type of feedback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Reinforcement/punishment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[0.06–0.43]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Corrective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[0.39–0.55]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High-information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[0.82–1.15]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Feedback direction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Teacher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[0.43–0.51]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teacher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[0.13–0.56]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[0.59–1.11]</w:t>
                  </w:r>
                </w:p>
              </w:tc>
            </w:tr>
          </w:tbl>
          <w:bookmarkEnd w:id="22"/>
          <w:p/>
        </w:tc>
      </w:tr>
    </w:tbl>
    <w:bookmarkEnd w:id="23"/>
    <w:bookmarkStart w:id="28" w:name="novelty-effect"/>
    <w:p>
      <w:pPr>
        <w:pStyle w:val="Heading2"/>
      </w:pPr>
      <w:r>
        <w:t xml:space="preserve">Novelty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kluger"/>
          <w:p>
            <w:pPr>
              <w:pStyle w:val="Compact"/>
              <w:jc w:val="center"/>
            </w:pPr>
            <w:r>
              <w:drawing>
                <wp:inline>
                  <wp:extent cx="5334000" cy="388893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kluger1996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88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[@kluger1996,S.274]</w:t>
            </w:r>
          </w:p>
          <w:bookmarkEnd w:id="27"/>
        </w:tc>
      </w:tr>
    </w:tbl>
    <w:bookmarkEnd w:id="28"/>
    <w:bookmarkStart w:id="3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Besprechen Sie mit ihren Kommilitonen, mit welchen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sie Feedbackprozesse digital Fördern.</w:t>
      </w:r>
    </w:p>
    <w:bookmarkStart w:id="29" w:name="digitale-feedbackformen"/>
    <w:p>
      <w:pPr>
        <w:pStyle w:val="Heading3"/>
      </w:pPr>
      <w:r>
        <w:t xml:space="preserve">Digitale Feedbackformen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Automatisiert</w:t>
      </w:r>
      <w:r>
        <w:t xml:space="preserve"> </w:t>
      </w:r>
      <w:r>
        <w:t xml:space="preserve">(z. B. MC-Test mit direktem Feedback)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Peer-Feedback</w:t>
      </w:r>
      <w:r>
        <w:t xml:space="preserve"> </w:t>
      </w:r>
      <w:r>
        <w:t xml:space="preserve">(Kommentare, Online-Diskussionsforen)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KI-generiert</w:t>
      </w:r>
      <w:r>
        <w:t xml:space="preserve"> </w:t>
      </w:r>
      <w:r>
        <w:t xml:space="preserve">(z. B. CustomGPT)</w:t>
      </w:r>
    </w:p>
    <w:bookmarkEnd w:id="29"/>
    <w:bookmarkEnd w:id="30"/>
    <w:bookmarkEnd w:id="31"/>
    <w:bookmarkStart w:id="42" w:name="e-assessment-formen"/>
    <w:p>
      <w:pPr>
        <w:pStyle w:val="Heading1"/>
      </w:pPr>
      <w:r>
        <w:t xml:space="preserve">E-Assessment-Formen</w:t>
      </w:r>
    </w:p>
    <w:bookmarkStart w:id="33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Computerunterstütze Prüfungsformen</w:t>
            </w:r>
            <w:r>
              <w:t xml:space="preserve"> </w:t>
            </w:r>
            <w:r>
              <w:t xml:space="preserve">[@arnold2018, S.315]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62"/>
              <w:gridCol w:w="3660"/>
              <w:gridCol w:w="1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Traditioneller Leistungsnachweis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E-Assessment-Form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 der Entsprechung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schriftliche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elektronische Klausur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adaptives Testen / Videoprüfung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Seminararbeit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 abgegebene Arbeit (electronic submission)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Beteiligung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Online-Diskussionsforum / Online-Voting-System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Lerntagebuch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Studienjournal per Weblog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Gruppenprüfung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gemeinsamer Wiki-Aufbau / Webquests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niedrig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Poster-Präsentation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Digital Storytelling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wissenschaftspraktische Tätigkeit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wechselseitige studentische Bewertung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Peer Assessment (z. B. durch Kommentarfunktion)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Übertragen Sie eine analoge Prüfungsform ins Digitale:</w:t>
      </w:r>
    </w:p>
    <w:p>
      <w:pPr>
        <w:pStyle w:val="Compact"/>
        <w:numPr>
          <w:ilvl w:val="0"/>
          <w:numId w:val="1002"/>
        </w:numPr>
      </w:pPr>
      <w:r>
        <w:t xml:space="preserve">Wie verändert sich das Feedback?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 Chancen / Risiken entstehen?</w:t>
      </w:r>
    </w:p>
    <w:bookmarkEnd w:id="34"/>
    <w:bookmarkStart w:id="39" w:name="section-1"/>
    <w:p>
      <w:pPr>
        <w:pStyle w:val="Heading2"/>
      </w:pPr>
    </w:p>
    <w:p>
      <w:pPr>
        <w:pStyle w:val="FirstParagraph"/>
      </w:pPr>
      <w:hyperlink r:id="rId38">
        <w:r>
          <w:drawing>
            <wp:inline>
              <wp:extent cx="3810000" cy="2540000"/>
              <wp:effectExtent b="0" l="0" r="0" t="0"/>
              <wp:docPr descr="" title="" id="36" name="Picture"/>
              <a:graphic>
                <a:graphicData uri="http://schemas.openxmlformats.org/drawingml/2006/picture">
                  <pic:pic>
                    <pic:nvPicPr>
                      <pic:cNvPr descr="Medien_Beurteilung/TBA-Logo.svg" id="3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https://assessment.unibe.ch/TestingFormats</w:t>
      </w:r>
    </w:p>
    <w:bookmarkEnd w:id="39"/>
    <w:bookmarkStart w:id="40" w:name="rechtliche-und-ethische-aspekte"/>
    <w:p>
      <w:pPr>
        <w:pStyle w:val="Heading2"/>
      </w:pPr>
      <w:r>
        <w:t xml:space="preserve">Rechtliche und ethische Aspekte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Datenschutz</w:t>
      </w:r>
      <w:r>
        <w:t xml:space="preserve">: besonders bei summativen Beurteilungen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Urheberrecht</w:t>
      </w:r>
      <w:r>
        <w:t xml:space="preserve">: Quellenangaben, Bilder, Texte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Ethik</w:t>
      </w:r>
      <w:r>
        <w:t xml:space="preserve">: Soll KI-Feedback ungeprüft an Lernende weitergegeben werden?</w:t>
      </w:r>
    </w:p>
    <w:bookmarkEnd w:id="40"/>
    <w:bookmarkStart w:id="41" w:name="typische-herausforderungen"/>
    <w:p>
      <w:pPr>
        <w:pStyle w:val="Heading2"/>
      </w:pPr>
      <w:r>
        <w:t xml:space="preserve">Typische Herausforderungen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Schummeln 2.0</w:t>
      </w:r>
      <w:r>
        <w:t xml:space="preserve">: KI &amp; Internet sind schwer kontrollierbar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Technische Störungen</w:t>
      </w:r>
      <w:r>
        <w:t xml:space="preserve">: WLAN-Ausfälle, Hardwareprobleme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Akzeptanz</w:t>
      </w:r>
      <w:r>
        <w:t xml:space="preserve">: Lernende empfinden Tools unterschiedlich als fair/nützlich</w:t>
      </w:r>
    </w:p>
    <w:bookmarkEnd w:id="41"/>
    <w:bookmarkEnd w:id="42"/>
    <w:bookmarkStart w:id="49" w:name="ausblick"/>
    <w:p>
      <w:pPr>
        <w:pStyle w:val="Heading1"/>
      </w:pPr>
      <w:r>
        <w:t xml:space="preserve">Ausblick</w:t>
      </w:r>
    </w:p>
    <w:bookmarkStart w:id="47" w:name="intelligent-tutoring-systems-its"/>
    <w:p>
      <w:pPr>
        <w:pStyle w:val="Heading2"/>
      </w:pPr>
      <w:r>
        <w:t xml:space="preserve">Intelligent Tutoring Systems (ITS)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it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baumer.webp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ITS made by PHBern, Quelle:</w:t>
            </w:r>
            <w:r>
              <w:t xml:space="preserve"> </w:t>
            </w:r>
            <w:r>
              <w:t xml:space="preserve">@baumer2025</w:t>
            </w:r>
          </w:p>
          <w:bookmarkEnd w:id="46"/>
        </w:tc>
      </w:tr>
    </w:tbl>
    <w:bookmarkEnd w:id="47"/>
    <w:bookmarkStart w:id="48" w:name="bibliographie"/>
    <w:p>
      <w:pPr>
        <w:pStyle w:val="Heading2"/>
      </w:pPr>
      <w:r>
        <w:t xml:space="preserve">Bibliographie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" /><Relationship Type="http://schemas.openxmlformats.org/officeDocument/2006/relationships/image" Id="rId43" Target="media/rId43.webp" /><Relationship Type="http://schemas.openxmlformats.org/officeDocument/2006/relationships/image" Id="rId24" Target="media/rId24.png" /><Relationship Type="http://schemas.openxmlformats.org/officeDocument/2006/relationships/hyperlink" Id="rId38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2026-02-25T07:58:17Z</dcterms:created>
  <dcterms:modified xsi:type="dcterms:W3CDTF">2026-02-25T07:58:17Z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