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5.svg" ContentType="image/svg+xml"/>
  <Override PartName="/word/media/rId44.webp" ContentType="image/webp"/>
  <Override PartName="/word/media/rId24.png" ContentType="image/png"/>
  <Override PartName="/word/media/rId38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Digitale Medien in der Beurteilung einsetzen</w:t>
      </w:r>
    </w:p>
    <w:p>
      <w:pPr>
        <w:pStyle w:val="Subtitle"/>
      </w:pPr>
      <w:r>
        <w:t xml:space="preserve">Teil 2</w:t>
      </w:r>
    </w:p>
    <w:p>
      <w:pPr>
        <w:pStyle w:val="Author"/>
      </w:pPr>
      <w:r>
        <w:t xml:space="preserve">Richard Conrardy</w:t>
      </w:r>
    </w:p>
    <w:p>
      <w:pPr>
        <w:pStyle w:val="Date"/>
      </w:pPr>
      <w:r>
        <w:t xml:space="preserve">2026-04-15</w:t>
      </w:r>
    </w:p>
    <w:bookmarkStart w:id="31" w:name="rekapitulation"/>
    <w:p>
      <w:pPr>
        <w:pStyle w:val="Heading1"/>
      </w:pPr>
      <w:r>
        <w:t xml:space="preserve">Rekapitulation</w:t>
      </w:r>
    </w:p>
    <w:p>
      <w:pPr>
        <w:pStyle w:val="FirstParagraph"/>
      </w:pPr>
      <w:hyperlink r:id="rId20">
        <w:r>
          <w:rPr>
            <w:rStyle w:val="Hyperlink"/>
          </w:rPr>
          <w:t xml:space="preserve">Padlet</w:t>
        </w:r>
      </w:hyperlink>
    </w:p>
    <w:bookmarkStart w:id="21" w:name="gütekriterien"/>
    <w:p>
      <w:pPr>
        <w:pStyle w:val="Heading2"/>
      </w:pPr>
      <w:r>
        <w:t xml:space="preserve">Gütekriterien</w:t>
      </w:r>
    </w:p>
    <w:p>
      <w:pPr>
        <w:pStyle w:val="FirstParagraph"/>
      </w:pPr>
      <w:r>
        <w:t xml:space="preserve">Neben Reliabilität und Validität sollten bei digitalen Medien auch</w:t>
      </w:r>
      <w:r>
        <w:t xml:space="preserve"> </w:t>
      </w:r>
      <w:r>
        <w:rPr>
          <w:b/>
          <w:bCs/>
        </w:rPr>
        <w:t xml:space="preserve">Fairness</w:t>
      </w:r>
      <w:r>
        <w:t xml:space="preserve"> </w:t>
      </w:r>
      <w:r>
        <w:t xml:space="preserve">und</w:t>
      </w:r>
      <w:r>
        <w:t xml:space="preserve"> </w:t>
      </w:r>
      <w:r>
        <w:rPr>
          <w:b/>
          <w:bCs/>
        </w:rPr>
        <w:t xml:space="preserve">Praktikabilität</w:t>
      </w:r>
      <w:r>
        <w:t xml:space="preserve"> </w:t>
      </w:r>
      <w:r>
        <w:t xml:space="preserve">beachtet werden.</w:t>
      </w:r>
    </w:p>
    <w:p>
      <w:pPr>
        <w:pStyle w:val="BodyText"/>
      </w:pPr>
      <w:r>
        <w:t xml:space="preserve">Wie verändert sich die Aussagekraft einer Beurteilung (z.B. E-Portfolio) wenn es digital stattfindet?</w:t>
      </w:r>
    </w:p>
    <w:bookmarkEnd w:id="21"/>
    <w:bookmarkStart w:id="23" w:name="feedback"/>
    <w:p>
      <w:pPr>
        <w:pStyle w:val="Heading2"/>
      </w:pPr>
      <w:r>
        <w:t xml:space="preserve">Feedback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2" w:name="tbl-lett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Moderatoreffekte</w:t>
            </w:r>
            <w:r>
              <w:t xml:space="preserve"> </w:t>
            </w:r>
            <w:r>
              <w:t xml:space="preserve">[@wisniewski2020, S.11]</w:t>
            </w:r>
            <w:r>
              <w:t xml:space="preserve">, gekürzt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Moderator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C.I.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Research design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Controlled study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713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[0.37–0.46]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Pre-post study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[0.56–0.69]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Outcome measure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Cognitive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597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0.51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[0.46–0.55]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Motivational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[0.23–0.42]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Physical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0.63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[0.34–0.92]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Behavioral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30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[−0.09–1.06]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Type of feedback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Reinforcement/punishment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0.24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[0.06–0.43]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Corrective feedback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238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[0.39–0.55]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High-information feedback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0.99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[0.82–1.15]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rPr>
                      <w:b/>
                      <w:bCs/>
                    </w:rPr>
                    <w:t xml:space="preserve">Feedback direction</w:t>
                  </w: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</w:pP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Teacher → student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812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0.47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[0.43–0.51]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Student → teacher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27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0.35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[0.13–0.56]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Student → student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0.85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[0.59–1.11]</w:t>
                  </w:r>
                </w:p>
              </w:tc>
            </w:tr>
          </w:tbl>
          <w:bookmarkEnd w:id="22"/>
          <w:p/>
        </w:tc>
      </w:tr>
    </w:tbl>
    <w:bookmarkEnd w:id="23"/>
    <w:bookmarkStart w:id="28" w:name="novelty-effect"/>
    <w:p>
      <w:pPr>
        <w:pStyle w:val="Heading2"/>
      </w:pPr>
      <w:r>
        <w:t xml:space="preserve">Novelty Effect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7" w:name="fig-kluger"/>
          <w:p>
            <w:pPr>
              <w:pStyle w:val="Compact"/>
              <w:jc w:val="center"/>
            </w:pPr>
            <w:r>
              <w:drawing>
                <wp:inline>
                  <wp:extent cx="5334000" cy="3888932"/>
                  <wp:effectExtent b="0" l="0" r="0" t="0"/>
                  <wp:docPr descr="" title="" id="25" name="Picture"/>
                  <a:graphic>
                    <a:graphicData uri="http://schemas.openxmlformats.org/drawingml/2006/picture">
                      <pic:pic>
                        <pic:nvPicPr>
                          <pic:cNvPr descr="Medien_Beurteilung/kluger1996.png" id="2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3888932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</w:t>
            </w:r>
            <w:r>
              <w:t xml:space="preserve"> </w:t>
            </w:r>
            <w:r>
              <w:t xml:space="preserve">[@kluger1996,S.274]</w:t>
            </w:r>
          </w:p>
          <w:bookmarkEnd w:id="27"/>
        </w:tc>
      </w:tr>
    </w:tbl>
    <w:bookmarkEnd w:id="28"/>
    <w:bookmarkStart w:id="30" w:name="auftrag"/>
    <w:p>
      <w:pPr>
        <w:pStyle w:val="Heading2"/>
      </w:pPr>
      <w:r>
        <w:t xml:space="preserve">Auftrag</w:t>
      </w:r>
    </w:p>
    <w:p>
      <w:pPr>
        <w:pStyle w:val="FirstParagraph"/>
      </w:pPr>
      <w:r>
        <w:t xml:space="preserve">Besprechen Sie mit ihren Kommilitonen, mit welchen</w:t>
      </w:r>
      <w:r>
        <w:t xml:space="preserve"> </w:t>
      </w:r>
      <w:r>
        <w:rPr>
          <w:b/>
          <w:bCs/>
        </w:rPr>
        <w:t xml:space="preserve">Tools</w:t>
      </w:r>
      <w:r>
        <w:t xml:space="preserve"> </w:t>
      </w:r>
      <w:r>
        <w:t xml:space="preserve">sie Feedbackprozesse digital Fördern.</w:t>
      </w:r>
    </w:p>
    <w:bookmarkStart w:id="29" w:name="digitale-feedbackformen"/>
    <w:p>
      <w:pPr>
        <w:pStyle w:val="Heading3"/>
      </w:pPr>
      <w:r>
        <w:t xml:space="preserve">Digitale Feedbackformen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Automatisiert</w:t>
      </w:r>
      <w:r>
        <w:t xml:space="preserve"> </w:t>
      </w:r>
      <w:r>
        <w:t xml:space="preserve">(z. B. MC-Test mit direktem Feedback)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Peer-Feedback</w:t>
      </w:r>
      <w:r>
        <w:t xml:space="preserve"> </w:t>
      </w:r>
      <w:r>
        <w:t xml:space="preserve">(Kommentare, Online-Diskussionsforen)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KI-generiert</w:t>
      </w:r>
      <w:r>
        <w:t xml:space="preserve"> </w:t>
      </w:r>
      <w:r>
        <w:t xml:space="preserve">(z. B. CustomGPT)</w:t>
      </w:r>
    </w:p>
    <w:bookmarkEnd w:id="29"/>
    <w:bookmarkEnd w:id="30"/>
    <w:bookmarkEnd w:id="31"/>
    <w:bookmarkStart w:id="43" w:name="e-assessment-formen"/>
    <w:p>
      <w:pPr>
        <w:pStyle w:val="Heading1"/>
      </w:pPr>
      <w:r>
        <w:t xml:space="preserve">E-Assessment-Formen</w:t>
      </w:r>
    </w:p>
    <w:bookmarkStart w:id="33" w:name="section"/>
    <w:p>
      <w:pPr>
        <w:pStyle w:val="Heading2"/>
      </w:pP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2" w:name="tbl-letter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Computerunterstütze Prüfungsformen</w:t>
            </w:r>
            <w:r>
              <w:t xml:space="preserve"> </w:t>
            </w:r>
            <w:r>
              <w:t xml:space="preserve">[@arnold2018, S.315]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2662"/>
              <w:gridCol w:w="3660"/>
              <w:gridCol w:w="1597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Traditioneller Leistungsnachweis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E-Assessment-Form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Grad der Entsprechung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schriftliche Prüfung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elektronische Klausur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mündliche Prüfung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adaptives Testen / Videoprüfung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Referat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Präsentation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Seminararbeit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elektronisch abgegebene Arbeit (electronic submission)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mündliche Beteiligung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Online-Diskussionsforum / Online-Voting-System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mittel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Lerntagebuch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Studienjournal per Weblog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Gruppenprüfung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gemeinsamer Wiki-Aufbau / Webquests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niedrig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Portfolio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E-Portfolio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Poster-Präsentation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Digital Storytelling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mittel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wissenschaftspraktische Tätigkeit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Simulation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wechselseitige studentische Bewertung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Peer Assessment (z. B. durch Kommentarfunktion)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hoch</w:t>
                  </w:r>
                </w:p>
              </w:tc>
            </w:tr>
          </w:tbl>
          <w:bookmarkEnd w:id="32"/>
          <w:p/>
        </w:tc>
      </w:tr>
    </w:tbl>
    <w:bookmarkEnd w:id="33"/>
    <w:bookmarkStart w:id="34" w:name="übung"/>
    <w:p>
      <w:pPr>
        <w:pStyle w:val="Heading2"/>
      </w:pPr>
      <w:r>
        <w:t xml:space="preserve">Übung</w:t>
      </w:r>
    </w:p>
    <w:p>
      <w:pPr>
        <w:pStyle w:val="FirstParagraph"/>
      </w:pPr>
      <w:r>
        <w:t xml:space="preserve">Übertragen Sie eine analoge Prüfungsform ins Digitale:</w:t>
      </w:r>
    </w:p>
    <w:p>
      <w:pPr>
        <w:pStyle w:val="Compact"/>
        <w:numPr>
          <w:ilvl w:val="0"/>
          <w:numId w:val="1002"/>
        </w:numPr>
      </w:pPr>
      <w:r>
        <w:t xml:space="preserve">Wie verändert sich das Feedback?</w:t>
      </w:r>
      <w:r>
        <w:br/>
      </w:r>
    </w:p>
    <w:p>
      <w:pPr>
        <w:pStyle w:val="Compact"/>
        <w:numPr>
          <w:ilvl w:val="0"/>
          <w:numId w:val="1002"/>
        </w:numPr>
      </w:pPr>
      <w:r>
        <w:t xml:space="preserve">Welche Chancen / Risiken entstehen?</w:t>
      </w:r>
    </w:p>
    <w:bookmarkEnd w:id="34"/>
    <w:bookmarkStart w:id="40" w:name="section-1"/>
    <w:p>
      <w:pPr>
        <w:pStyle w:val="Heading2"/>
      </w:pPr>
    </w:p>
    <w:p>
      <w:pPr>
        <w:pStyle w:val="FirstParagraph"/>
      </w:pPr>
      <w:hyperlink r:id="rId39">
        <w:r>
          <w:drawing>
            <wp:inline>
              <wp:extent cx="3810000" cy="2540000"/>
              <wp:effectExtent b="0" l="0" r="0" t="0"/>
              <wp:docPr descr="" title="" id="36" name="Picture"/>
              <a:graphic>
                <a:graphicData uri="http://schemas.openxmlformats.org/drawingml/2006/picture">
                  <pic:pic>
                    <pic:nvPicPr>
                      <pic:cNvPr descr="Medien_Beurteilung/TBA-Logo.svg" id="37" name="Picture"/>
                      <pic:cNvPicPr>
                        <a:picLocks noChangeArrowheads="1" noChangeAspect="1"/>
                      </pic:cNvPicPr>
                    </pic:nvPicPr>
                    <pic:blipFill>
                      <a:blip r:embed="rId38">
                        <a:extLst>
                          <a:ext uri="{28A0092B-C50C-407E-A947-70E740481C1C}">
                            <a14:useLocalDpi xmlns:a14="http://schemas.microsoft.com/office/drawing/2010/main" val="0"/>
                          </a:ext>
                          <a:ext uri="{96DAC541-7B7A-43D3-8B79-37D633B846F1}">
                            <asvg:svgBlip xmlns:asvg="http://schemas.microsoft.com/office/drawing/2016/SVG/main" r:embed="rId35"/>
                          </a:ext>
                        </a:extLst>
                      </a:blip>
                      <a:stretch>
                        <a:fillRect/>
                      </a:stretch>
                    </pic:blipFill>
                    <pic:spPr bwMode="auto">
                      <a:xfrm>
                        <a:off x="0" y="0"/>
                        <a:ext cx="3810000" cy="2540000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headEnd/>
                        <a:tailEnd/>
                      </a:ln>
                    </pic:spPr>
                  </pic:pic>
                </a:graphicData>
              </a:graphic>
            </wp:inline>
          </w:drawing>
        </w:r>
      </w:hyperlink>
    </w:p>
    <w:p>
      <w:pPr>
        <w:pStyle w:val="BodyText"/>
      </w:pPr>
      <w:r>
        <w:t xml:space="preserve">https://assessment.unibe.ch/TestingFormats</w:t>
      </w:r>
    </w:p>
    <w:bookmarkEnd w:id="40"/>
    <w:bookmarkStart w:id="41" w:name="rechtliche-und-ethische-aspekte"/>
    <w:p>
      <w:pPr>
        <w:pStyle w:val="Heading2"/>
      </w:pPr>
      <w:r>
        <w:t xml:space="preserve">Rechtliche und ethische Aspekte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Datenschutz</w:t>
      </w:r>
      <w:r>
        <w:t xml:space="preserve">: besonders bei summativen Beurteilungen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Urheberrecht</w:t>
      </w:r>
      <w:r>
        <w:t xml:space="preserve">: Quellenangaben, Bilder, Texte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Ethik</w:t>
      </w:r>
      <w:r>
        <w:t xml:space="preserve">: Soll KI-Feedback ungeprüft an Lernende weitergegeben werden?</w:t>
      </w:r>
    </w:p>
    <w:bookmarkEnd w:id="41"/>
    <w:bookmarkStart w:id="42" w:name="typische-herausforderungen"/>
    <w:p>
      <w:pPr>
        <w:pStyle w:val="Heading2"/>
      </w:pPr>
      <w:r>
        <w:t xml:space="preserve">Typische Herausforderungen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Schummeln 2.0</w:t>
      </w:r>
      <w:r>
        <w:t xml:space="preserve">: KI &amp; Internet sind schwer kontrollierbar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Technische Störungen</w:t>
      </w:r>
      <w:r>
        <w:t xml:space="preserve">: WLAN-Ausfälle, Hardwareprobleme</w:t>
      </w:r>
    </w:p>
    <w:p>
      <w:pPr>
        <w:pStyle w:val="Compact"/>
        <w:numPr>
          <w:ilvl w:val="0"/>
          <w:numId w:val="1004"/>
        </w:numPr>
      </w:pPr>
      <w:r>
        <w:rPr>
          <w:b/>
          <w:bCs/>
        </w:rPr>
        <w:t xml:space="preserve">Akzeptanz</w:t>
      </w:r>
      <w:r>
        <w:t xml:space="preserve">: Lernende empfinden Tools unterschiedlich als fair/nützlich</w:t>
      </w:r>
    </w:p>
    <w:bookmarkEnd w:id="42"/>
    <w:bookmarkEnd w:id="43"/>
    <w:bookmarkStart w:id="50" w:name="ausblick"/>
    <w:p>
      <w:pPr>
        <w:pStyle w:val="Heading1"/>
      </w:pPr>
      <w:r>
        <w:t xml:space="preserve">Ausblick</w:t>
      </w:r>
    </w:p>
    <w:bookmarkStart w:id="48" w:name="intelligent-tutoring-systems-its"/>
    <w:p>
      <w:pPr>
        <w:pStyle w:val="Heading2"/>
      </w:pPr>
      <w:r>
        <w:t xml:space="preserve">Intelligent Tutoring Systems (ITS)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7" w:name="fig-its"/>
          <w:p>
            <w:pPr>
              <w:pStyle w:val="Compact"/>
              <w:jc w:val="center"/>
            </w:pPr>
            <w:r>
              <w:drawing>
                <wp:inline>
                  <wp:extent cx="5334000" cy="4000500"/>
                  <wp:effectExtent b="0" l="0" r="0" t="0"/>
                  <wp:docPr descr="" title="" id="45" name="Picture"/>
                  <a:graphic>
                    <a:graphicData uri="http://schemas.openxmlformats.org/drawingml/2006/picture">
                      <pic:pic>
                        <pic:nvPicPr>
                          <pic:cNvPr descr="Medien_Beurteilung/baumer.webp" id="4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44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40005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ITS made by PHBern, Quelle:</w:t>
            </w:r>
            <w:r>
              <w:t xml:space="preserve"> </w:t>
            </w:r>
            <w:r>
              <w:t xml:space="preserve">@baumer2025</w:t>
            </w:r>
          </w:p>
          <w:bookmarkEnd w:id="47"/>
        </w:tc>
      </w:tr>
    </w:tbl>
    <w:bookmarkEnd w:id="48"/>
    <w:bookmarkStart w:id="49" w:name="bibliographie"/>
    <w:p>
      <w:pPr>
        <w:pStyle w:val="Heading2"/>
      </w:pPr>
      <w:r>
        <w:t xml:space="preserve">Bibliographie</w:t>
      </w:r>
    </w:p>
    <w:bookmarkEnd w:id="49"/>
    <w:bookmarkEnd w:id="50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35" Target="media/rId35.svg" /><Relationship Type="http://schemas.openxmlformats.org/officeDocument/2006/relationships/image" Id="rId44" Target="media/rId44.webp" /><Relationship Type="http://schemas.openxmlformats.org/officeDocument/2006/relationships/image" Id="rId24" Target="media/rId24.png" /><Relationship Type="http://schemas.openxmlformats.org/officeDocument/2006/relationships/image" Id="rId38" Target="media/rId38.png" /><Relationship Type="http://schemas.openxmlformats.org/officeDocument/2006/relationships/hyperlink" Id="rId39" Target="https://assessment.unibe.ch/TestingFormats" TargetMode="External" /><Relationship Type="http://schemas.openxmlformats.org/officeDocument/2006/relationships/hyperlink" Id="rId20" Target="https://phbern.padlet.org/richardconrardy/digitale-medien-in-der-beurteilung-rbqabyrpwfmvr9qy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9" Target="https://assessment.unibe.ch/TestingFormats" TargetMode="External" /><Relationship Type="http://schemas.openxmlformats.org/officeDocument/2006/relationships/hyperlink" Id="rId20" Target="https://phbern.padlet.org/richardconrardy/digitale-medien-in-der-beurteilung-rbqabyrpwfmvr9qy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Digitale Medien in der Beurteilung einsetzen</dc:title>
  <dc:creator>Richard Conrardy</dc:creator>
  <cp:keywords/>
  <dcterms:created xsi:type="dcterms:W3CDTF">2026-02-09T21:23:31Z</dcterms:created>
  <dcterms:modified xsi:type="dcterms:W3CDTF">2026-02-09T21:23:31Z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ffiliations">
    <vt:lpwstr/>
  </property>
  <property fmtid="{D5CDD505-2E9C-101B-9397-08002B2CF9AE}" pid="3" name="authors">
    <vt:lpwstr/>
  </property>
  <property fmtid="{D5CDD505-2E9C-101B-9397-08002B2CF9AE}" pid="4" name="biblio-config">
    <vt:lpwstr>True</vt:lpwstr>
  </property>
  <property fmtid="{D5CDD505-2E9C-101B-9397-08002B2CF9AE}" pid="5" name="by-affiliation">
    <vt:lpwstr/>
  </property>
  <property fmtid="{D5CDD505-2E9C-101B-9397-08002B2CF9AE}" pid="6" name="by-author">
    <vt:lpwstr/>
  </property>
  <property fmtid="{D5CDD505-2E9C-101B-9397-08002B2CF9AE}" pid="7" name="date">
    <vt:lpwstr>2026-04-15</vt:lpwstr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institute">
    <vt:lpwstr>PHBern, IS1</vt:lpwstr>
  </property>
  <property fmtid="{D5CDD505-2E9C-101B-9397-08002B2CF9AE}" pid="12" name="institutes">
    <vt:lpwstr/>
  </property>
  <property fmtid="{D5CDD505-2E9C-101B-9397-08002B2CF9AE}" pid="13" name="labels">
    <vt:lpwstr/>
  </property>
  <property fmtid="{D5CDD505-2E9C-101B-9397-08002B2CF9AE}" pid="14" name="room">
    <vt:lpwstr>B106</vt:lpwstr>
  </property>
  <property fmtid="{D5CDD505-2E9C-101B-9397-08002B2CF9AE}" pid="15" name="subtitle">
    <vt:lpwstr>Teil 2</vt:lpwstr>
  </property>
  <property fmtid="{D5CDD505-2E9C-101B-9397-08002B2CF9AE}" pid="16" name="toc-title">
    <vt:lpwstr>Table of contents</vt:lpwstr>
  </property>
</Properties>
</file>