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svg" ContentType="image/svg+xml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Digitalität und Datenschutz</w:t>
      </w:r>
    </w:p>
    <w:p>
      <w:pPr>
        <w:pStyle w:val="Author"/>
      </w:pPr>
      <w:r>
        <w:t xml:space="preserve">Richard Conrardy</w:t>
      </w:r>
    </w:p>
    <w:p>
      <w:pPr>
        <w:pStyle w:val="Date"/>
      </w:pPr>
      <w:r>
        <w:t xml:space="preserve">2025-10-02</w:t>
      </w:r>
    </w:p>
    <w:bookmarkStart w:id="20" w:name="lernziele"/>
    <w:p>
      <w:pPr>
        <w:pStyle w:val="Heading1"/>
      </w:pPr>
      <w:r>
        <w:t xml:space="preserve">Lernziele</w:t>
      </w:r>
    </w:p>
    <w:p>
      <w:pPr>
        <w:pStyle w:val="Compact"/>
        <w:numPr>
          <w:ilvl w:val="0"/>
          <w:numId w:val="1001"/>
        </w:numPr>
      </w:pPr>
      <w:r>
        <w:t xml:space="preserve">Den Begriff Datenschutz differenziert verwenden.</w:t>
      </w:r>
    </w:p>
    <w:p>
      <w:pPr>
        <w:pStyle w:val="Compact"/>
        <w:numPr>
          <w:ilvl w:val="0"/>
          <w:numId w:val="1001"/>
        </w:numPr>
      </w:pPr>
      <w:r>
        <w:t xml:space="preserve">Eigenes Handeln im Berufsalltag hinsichtlich Datenschutz reflektieren.</w:t>
      </w:r>
    </w:p>
    <w:p>
      <w:pPr>
        <w:pStyle w:val="Compact"/>
        <w:numPr>
          <w:ilvl w:val="0"/>
          <w:numId w:val="1001"/>
        </w:numPr>
      </w:pPr>
      <w:r>
        <w:t xml:space="preserve">Fundierte Grundlagen zu Recht, Datensicherheit und soziologischen Aspekten gewinnen.</w:t>
      </w:r>
    </w:p>
    <w:p>
      <w:pPr>
        <w:pStyle w:val="Compact"/>
        <w:numPr>
          <w:ilvl w:val="0"/>
          <w:numId w:val="1001"/>
        </w:numPr>
      </w:pPr>
      <w:r>
        <w:t xml:space="preserve">Ansätze kennen, um Datenschutz im Unterricht zu thematisieren.</w:t>
      </w:r>
    </w:p>
    <w:bookmarkEnd w:id="20"/>
    <w:bookmarkStart w:id="32" w:name="X79da6625a839e6886eecb4152d60bbbba4691bd"/>
    <w:p>
      <w:pPr>
        <w:pStyle w:val="Heading1"/>
      </w:pPr>
      <w:r>
        <w:t xml:space="preserve">Datenschutz (als sozialwissenschaftlicher Begriff)</w:t>
      </w:r>
    </w:p>
    <w:bookmarkStart w:id="21" w:name="X0b1d46ecb3acfe4c46c60964a601e6706ded8a9"/>
    <w:p>
      <w:pPr>
        <w:pStyle w:val="Heading2"/>
      </w:pPr>
      <w:r>
        <w:t xml:space="preserve">Datenschutz als gesellschaftliches Phänomen</w:t>
      </w:r>
    </w:p>
    <w:p>
      <w:pPr>
        <w:pStyle w:val="Compact"/>
        <w:numPr>
          <w:ilvl w:val="0"/>
          <w:numId w:val="1002"/>
        </w:numPr>
      </w:pPr>
      <w:r>
        <w:t xml:space="preserve">Schutz der Privatsphäre und informationellen Selbstbestimmung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Spannungsfeld: individuelle Freiheit vs. gesellschaftliches Interesse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Vertrauen in Institutionen (Schule, Staat, Wirtschaft)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Kulturelle Unterschiede (Europa / USA / Asien)</w:t>
      </w:r>
    </w:p>
    <w:bookmarkEnd w:id="21"/>
    <w:bookmarkStart w:id="27" w:name="chilling-effect"/>
    <w:p>
      <w:pPr>
        <w:pStyle w:val="Heading2"/>
      </w:pPr>
      <w:r>
        <w:t xml:space="preserve">Chilling effect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6" w:name="fig-chilling"/>
          <w:p>
            <w:pPr>
              <w:pStyle w:val="Compact"/>
              <w:jc w:val="center"/>
            </w:pPr>
            <w:r>
              <w:drawing>
                <wp:inline>
                  <wp:extent cx="5334000" cy="2281242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Datenschutz/chillingeffect.drawio.sv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28124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Individuals’ chilling effects</w:t>
            </w:r>
            <w:r>
              <w:t xml:space="preserve"> </w:t>
            </w:r>
            <w:r>
              <w:t xml:space="preserve">[@buchi2022, S.3]</w:t>
            </w:r>
            <w:r>
              <w:t xml:space="preserve">, eigene Darstellung</w:t>
            </w:r>
          </w:p>
          <w:bookmarkEnd w:id="26"/>
        </w:tc>
      </w:tr>
    </w:tbl>
    <w:bookmarkEnd w:id="27"/>
    <w:bookmarkStart w:id="28" w:name="privacy-paradox-barnes2006"/>
    <w:p>
      <w:pPr>
        <w:pStyle w:val="Heading2"/>
      </w:pPr>
      <w:r>
        <w:t xml:space="preserve">Privacy paradox</w:t>
      </w:r>
      <w:r>
        <w:t xml:space="preserve"> </w:t>
      </w:r>
      <w:r>
        <w:t xml:space="preserve">[@barnes2006]</w:t>
      </w:r>
    </w:p>
    <w:p>
      <w:pPr>
        <w:pStyle w:val="Compact"/>
        <w:numPr>
          <w:ilvl w:val="0"/>
          <w:numId w:val="1003"/>
        </w:numPr>
      </w:pPr>
      <w:r>
        <w:t xml:space="preserve">Wunsch nach Privatsphäre</w:t>
      </w:r>
    </w:p>
    <w:p>
      <w:pPr>
        <w:pStyle w:val="Compact"/>
        <w:numPr>
          <w:ilvl w:val="0"/>
          <w:numId w:val="1003"/>
        </w:numPr>
      </w:pPr>
      <w:r>
        <w:t xml:space="preserve">Handeln als ob es egal wäre</w:t>
      </w:r>
    </w:p>
    <w:p>
      <w:pPr>
        <w:pStyle w:val="FirstParagraph"/>
      </w:pPr>
      <w:r>
        <w:t xml:space="preserve">Begründungen</w:t>
      </w:r>
      <w:r>
        <w:t xml:space="preserve"> </w:t>
      </w:r>
      <w:r>
        <w:t xml:space="preserve">@waldman2020</w:t>
      </w:r>
      <w:r>
        <w:t xml:space="preserve"> </w:t>
      </w:r>
      <w:r>
        <w:t xml:space="preserve">:</w:t>
      </w:r>
    </w:p>
    <w:p>
      <w:pPr>
        <w:pStyle w:val="Compact"/>
        <w:numPr>
          <w:ilvl w:val="0"/>
          <w:numId w:val="1004"/>
        </w:numPr>
      </w:pPr>
      <w:r>
        <w:t xml:space="preserve">Cognitive biases</w:t>
      </w:r>
    </w:p>
    <w:p>
      <w:pPr>
        <w:pStyle w:val="Compact"/>
        <w:numPr>
          <w:ilvl w:val="0"/>
          <w:numId w:val="1004"/>
        </w:numPr>
      </w:pPr>
      <w:r>
        <w:t xml:space="preserve">dark patterns</w:t>
      </w:r>
    </w:p>
    <w:bookmarkEnd w:id="28"/>
    <w:bookmarkStart w:id="29" w:name="diskussionsimpuls-5-min"/>
    <w:p>
      <w:pPr>
        <w:pStyle w:val="Heading2"/>
      </w:pPr>
      <w:r>
        <w:t xml:space="preserve">Diskussionsimpuls (5 Min)</w:t>
      </w:r>
    </w:p>
    <w:p>
      <w:pPr>
        <w:pStyle w:val="Compact"/>
        <w:numPr>
          <w:ilvl w:val="0"/>
          <w:numId w:val="1005"/>
        </w:numPr>
      </w:pPr>
      <w:r>
        <w:t xml:space="preserve">Wie gehen Sie im Alltag mit Ihren Daten um?</w:t>
      </w:r>
      <w:r>
        <w:br/>
      </w:r>
    </w:p>
    <w:p>
      <w:pPr>
        <w:pStyle w:val="Compact"/>
        <w:numPr>
          <w:ilvl w:val="0"/>
          <w:numId w:val="1005"/>
        </w:numPr>
      </w:pPr>
      <w:r>
        <w:t xml:space="preserve">Beispiele für bewusste vs. unbewusste Datenfreigaben.</w:t>
      </w:r>
      <w:r>
        <w:br/>
      </w:r>
    </w:p>
    <w:p>
      <w:pPr>
        <w:pStyle w:val="Compact"/>
        <w:numPr>
          <w:ilvl w:val="0"/>
          <w:numId w:val="1005"/>
        </w:numPr>
      </w:pPr>
      <w:r>
        <w:t xml:space="preserve">Besprechen Sie mit einer Person neben Ihnen.</w:t>
      </w:r>
    </w:p>
    <w:bookmarkEnd w:id="29"/>
    <w:bookmarkStart w:id="30" w:name="fragen-aus-der-soziologie"/>
    <w:p>
      <w:pPr>
        <w:pStyle w:val="Heading2"/>
      </w:pPr>
      <w:r>
        <w:t xml:space="preserve">Fragen aus der Soziologie</w:t>
      </w:r>
    </w:p>
    <w:p>
      <w:pPr>
        <w:pStyle w:val="Compact"/>
        <w:numPr>
          <w:ilvl w:val="0"/>
          <w:numId w:val="1006"/>
        </w:numPr>
      </w:pPr>
      <w:r>
        <w:t xml:space="preserve">Wem „gehören“ Daten?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Welche Machtstrukturen entstehen durch Datensammlung?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Wie verändert Überwachung das Verhalten?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Datenschutz als Menschenrecht (Art. 8 EMRK)</w:t>
      </w:r>
    </w:p>
    <w:bookmarkEnd w:id="30"/>
    <w:bookmarkStart w:id="31" w:name="mini-übung-10-min"/>
    <w:p>
      <w:pPr>
        <w:pStyle w:val="Heading2"/>
      </w:pPr>
      <w:r>
        <w:t xml:space="preserve">Mini-Übung (10 Min)</w:t>
      </w:r>
    </w:p>
    <w:p>
      <w:pPr>
        <w:pStyle w:val="Compact"/>
        <w:numPr>
          <w:ilvl w:val="0"/>
          <w:numId w:val="1007"/>
        </w:numPr>
      </w:pPr>
      <w:r>
        <w:t xml:space="preserve">Wählen Sie eine Social-Media-Plattform.</w:t>
      </w:r>
      <w:r>
        <w:br/>
      </w:r>
    </w:p>
    <w:p>
      <w:pPr>
        <w:pStyle w:val="Compact"/>
        <w:numPr>
          <w:ilvl w:val="0"/>
          <w:numId w:val="1007"/>
        </w:numPr>
      </w:pPr>
      <w:r>
        <w:t xml:space="preserve">Welche Daten geben Nutzer*innen preis?</w:t>
      </w:r>
      <w:r>
        <w:br/>
      </w:r>
    </w:p>
    <w:p>
      <w:pPr>
        <w:pStyle w:val="Compact"/>
        <w:numPr>
          <w:ilvl w:val="0"/>
          <w:numId w:val="1007"/>
        </w:numPr>
      </w:pPr>
      <w:r>
        <w:t xml:space="preserve">Welche Risiken entstehen daraus? Wer profitiert?</w:t>
      </w:r>
      <w:r>
        <w:br/>
      </w:r>
    </w:p>
    <w:p>
      <w:pPr>
        <w:pStyle w:val="Compact"/>
        <w:numPr>
          <w:ilvl w:val="0"/>
          <w:numId w:val="1007"/>
        </w:numPr>
      </w:pPr>
      <w:r>
        <w:t xml:space="preserve">Notieren Sie 2–3 Beobachtungen. Austausch in der Gruppe.</w:t>
      </w:r>
    </w:p>
    <w:bookmarkEnd w:id="31"/>
    <w:bookmarkEnd w:id="32"/>
    <w:bookmarkStart w:id="38" w:name="datenschutzrecht"/>
    <w:p>
      <w:pPr>
        <w:pStyle w:val="Heading1"/>
      </w:pPr>
      <w:r>
        <w:t xml:space="preserve">Datenschutzrecht</w:t>
      </w:r>
    </w:p>
    <w:bookmarkStart w:id="34" w:name="Xd02dec0e3ad441b43902ef4287cf9b364d811e5"/>
    <w:p>
      <w:pPr>
        <w:pStyle w:val="Heading2"/>
      </w:pPr>
      <w:r>
        <w:t xml:space="preserve">Bundesverfassung der Schweizerischen Eidgenossenschaft</w:t>
      </w:r>
    </w:p>
    <w:bookmarkStart w:id="33" w:name="art.-13-schutz-der-privatsphäre"/>
    <w:p>
      <w:pPr>
        <w:pStyle w:val="Heading3"/>
      </w:pPr>
      <w:r>
        <w:t xml:space="preserve">Art. 13 Schutz der Privatsphäre</w:t>
      </w:r>
    </w:p>
    <w:p>
      <w:pPr>
        <w:pStyle w:val="FirstParagraph"/>
      </w:pPr>
      <w:r>
        <w:t xml:space="preserve">Jede Person hat Anspruch auf Schutz vor Missbrauch ihrer persönlichen Daten.</w:t>
      </w:r>
    </w:p>
    <w:bookmarkEnd w:id="33"/>
    <w:bookmarkEnd w:id="34"/>
    <w:bookmarkStart w:id="35" w:name="Xb984d7382ce05482fbef9b5b89fe5b7fcc57dd9"/>
    <w:p>
      <w:pPr>
        <w:pStyle w:val="Heading2"/>
      </w:pPr>
      <w:r>
        <w:t xml:space="preserve">Kantonales Datenschutzgesetz (KDSG, Kanton Bern)</w:t>
      </w:r>
    </w:p>
    <w:p>
      <w:pPr>
        <w:pStyle w:val="Compact"/>
        <w:numPr>
          <w:ilvl w:val="0"/>
          <w:numId w:val="1008"/>
        </w:numPr>
      </w:pPr>
      <w:r>
        <w:t xml:space="preserve">Gegenwärtig in Überarbeitung</w:t>
      </w:r>
      <w:r>
        <w:br/>
      </w:r>
    </w:p>
    <w:p>
      <w:pPr>
        <w:pStyle w:val="Compact"/>
        <w:numPr>
          <w:ilvl w:val="0"/>
          <w:numId w:val="1008"/>
        </w:numPr>
      </w:pPr>
      <w:r>
        <w:t xml:space="preserve">Keine Bussen</w:t>
      </w:r>
      <w:r>
        <w:br/>
      </w:r>
    </w:p>
    <w:p>
      <w:pPr>
        <w:pStyle w:val="Compact"/>
        <w:numPr>
          <w:ilvl w:val="0"/>
          <w:numId w:val="1008"/>
        </w:numPr>
      </w:pPr>
      <w:r>
        <w:t xml:space="preserve">Besonders schützenswerte Daten: persönlicher Geheimbereich (Art. 3 Abs. 1)</w:t>
      </w:r>
      <w:r>
        <w:br/>
      </w:r>
    </w:p>
    <w:p>
      <w:pPr>
        <w:pStyle w:val="Compact"/>
        <w:numPr>
          <w:ilvl w:val="0"/>
          <w:numId w:val="1008"/>
        </w:numPr>
      </w:pPr>
      <w:r>
        <w:t xml:space="preserve">Gemeinden: eigene Aufsichtsstelle (Art. 33 Abs. 1)</w:t>
      </w:r>
    </w:p>
    <w:bookmarkEnd w:id="35"/>
    <w:bookmarkStart w:id="36" w:name="datenschutzgesetz-dsg-bund"/>
    <w:p>
      <w:pPr>
        <w:pStyle w:val="Heading2"/>
      </w:pPr>
      <w:r>
        <w:t xml:space="preserve">Datenschutzgesetz (DSG, Bund)</w:t>
      </w:r>
    </w:p>
    <w:p>
      <w:pPr>
        <w:pStyle w:val="Compact"/>
        <w:numPr>
          <w:ilvl w:val="0"/>
          <w:numId w:val="1009"/>
        </w:numPr>
      </w:pPr>
      <w:r>
        <w:t xml:space="preserve">Bundesgesetz, kompatibel mit DSGVO</w:t>
      </w:r>
      <w:r>
        <w:br/>
      </w:r>
    </w:p>
    <w:p>
      <w:pPr>
        <w:pStyle w:val="Compact"/>
        <w:numPr>
          <w:ilvl w:val="0"/>
          <w:numId w:val="1009"/>
        </w:numPr>
      </w:pPr>
      <w:r>
        <w:t xml:space="preserve">Ziel: Schutz der Persönlichkeit und Grundrechte</w:t>
      </w:r>
      <w:r>
        <w:br/>
      </w:r>
    </w:p>
    <w:p>
      <w:pPr>
        <w:pStyle w:val="Compact"/>
        <w:numPr>
          <w:ilvl w:val="0"/>
          <w:numId w:val="1009"/>
        </w:numPr>
      </w:pPr>
      <w:r>
        <w:t xml:space="preserve">Pflichten: Transparenz, Zweckbindung, Datensparsamkeit</w:t>
      </w:r>
      <w:r>
        <w:br/>
      </w:r>
    </w:p>
    <w:p>
      <w:pPr>
        <w:pStyle w:val="Compact"/>
        <w:numPr>
          <w:ilvl w:val="0"/>
          <w:numId w:val="1009"/>
        </w:numPr>
      </w:pPr>
      <w:r>
        <w:t xml:space="preserve">Rechte: Auskunft, Löschung, Berichtigung</w:t>
      </w:r>
    </w:p>
    <w:bookmarkEnd w:id="36"/>
    <w:bookmarkStart w:id="37" w:name="partnerarbeit-5-min"/>
    <w:p>
      <w:pPr>
        <w:pStyle w:val="Heading2"/>
      </w:pPr>
      <w:r>
        <w:t xml:space="preserve">Partnerarbeit (5 Min)</w:t>
      </w:r>
    </w:p>
    <w:p>
      <w:pPr>
        <w:pStyle w:val="Compact"/>
        <w:numPr>
          <w:ilvl w:val="0"/>
          <w:numId w:val="1010"/>
        </w:numPr>
      </w:pPr>
      <w:r>
        <w:t xml:space="preserve">Nennen Sie zwei Pflichten für Verantwortliche im DSG.</w:t>
      </w:r>
      <w:r>
        <w:br/>
      </w:r>
    </w:p>
    <w:p>
      <w:pPr>
        <w:pStyle w:val="Compact"/>
        <w:numPr>
          <w:ilvl w:val="0"/>
          <w:numId w:val="1010"/>
        </w:numPr>
      </w:pPr>
      <w:r>
        <w:t xml:space="preserve">Wie wirken diese konkret im Schulkontext?</w:t>
      </w:r>
    </w:p>
    <w:bookmarkEnd w:id="37"/>
    <w:bookmarkEnd w:id="38"/>
    <w:bookmarkStart w:id="43" w:name="datensicherheit"/>
    <w:p>
      <w:pPr>
        <w:pStyle w:val="Heading1"/>
      </w:pPr>
      <w:r>
        <w:t xml:space="preserve">Datensicherheit</w:t>
      </w:r>
    </w:p>
    <w:bookmarkStart w:id="39" w:name="die-drei-schutzziele-zentral"/>
    <w:p>
      <w:pPr>
        <w:pStyle w:val="Heading2"/>
      </w:pPr>
      <w:r>
        <w:t xml:space="preserve">Die drei Schutzziele (zentral)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Vertraulichkeit</w:t>
      </w:r>
      <w:r>
        <w:t xml:space="preserve"> </w:t>
      </w:r>
      <w:r>
        <w:t xml:space="preserve">– Zugriff nur für Befugte</w:t>
      </w:r>
      <w:r>
        <w:br/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Integrität</w:t>
      </w:r>
      <w:r>
        <w:t xml:space="preserve"> </w:t>
      </w:r>
      <w:r>
        <w:t xml:space="preserve">– Daten sind vollständig und unverändert</w:t>
      </w:r>
      <w:r>
        <w:br/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Verfügbarkeit</w:t>
      </w:r>
      <w:r>
        <w:t xml:space="preserve"> </w:t>
      </w:r>
      <w:r>
        <w:t xml:space="preserve">– Daten sind bei Bedarf zugänglich</w:t>
      </w:r>
    </w:p>
    <w:bookmarkEnd w:id="39"/>
    <w:bookmarkStart w:id="40" w:name="X8a6422b89df8b6265abf7d2c47ca9624557dc70"/>
    <w:p>
      <w:pPr>
        <w:pStyle w:val="Heading2"/>
      </w:pPr>
      <w:r>
        <w:t xml:space="preserve">Technische und organisatorische Massnahmen</w:t>
      </w:r>
    </w:p>
    <w:p>
      <w:pPr>
        <w:pStyle w:val="Compact"/>
        <w:numPr>
          <w:ilvl w:val="0"/>
          <w:numId w:val="1012"/>
        </w:numPr>
      </w:pPr>
      <w:r>
        <w:t xml:space="preserve">Technisch: Verschlüsselung, starke Passwörter/2FA, Zugriffsbeschränkung</w:t>
      </w:r>
      <w:r>
        <w:br/>
      </w:r>
    </w:p>
    <w:p>
      <w:pPr>
        <w:pStyle w:val="Compact"/>
        <w:numPr>
          <w:ilvl w:val="0"/>
          <w:numId w:val="1012"/>
        </w:numPr>
      </w:pPr>
      <w:r>
        <w:t xml:space="preserve">Organisatorisch: Schulungen, klare Zuständigkeiten, Notfall-/Backup-Pläne</w:t>
      </w:r>
      <w:r>
        <w:br/>
      </w:r>
    </w:p>
    <w:p>
      <w:pPr>
        <w:pStyle w:val="Compact"/>
        <w:numPr>
          <w:ilvl w:val="0"/>
          <w:numId w:val="1012"/>
        </w:numPr>
      </w:pPr>
      <w:r>
        <w:t xml:space="preserve">Grundsatz: Datenschutz ohne Datensicherheit ist nicht möglich.</w:t>
      </w:r>
    </w:p>
    <w:bookmarkEnd w:id="40"/>
    <w:bookmarkStart w:id="41" w:name="beispiele-aus-der-schule"/>
    <w:p>
      <w:pPr>
        <w:pStyle w:val="Heading2"/>
      </w:pPr>
      <w:r>
        <w:t xml:space="preserve">Beispiele aus der Schule</w:t>
      </w:r>
    </w:p>
    <w:p>
      <w:pPr>
        <w:pStyle w:val="Compact"/>
        <w:numPr>
          <w:ilvl w:val="0"/>
          <w:numId w:val="1013"/>
        </w:numPr>
      </w:pPr>
      <w:r>
        <w:t xml:space="preserve">Notenverwaltung und Zeugnisdruck</w:t>
      </w:r>
      <w:r>
        <w:br/>
      </w:r>
    </w:p>
    <w:p>
      <w:pPr>
        <w:pStyle w:val="Compact"/>
        <w:numPr>
          <w:ilvl w:val="0"/>
          <w:numId w:val="1013"/>
        </w:numPr>
      </w:pPr>
      <w:r>
        <w:t xml:space="preserve">Diagnosen, Förderpläne, Elterndaten</w:t>
      </w:r>
      <w:r>
        <w:br/>
      </w:r>
    </w:p>
    <w:p>
      <w:pPr>
        <w:pStyle w:val="Compact"/>
        <w:numPr>
          <w:ilvl w:val="0"/>
          <w:numId w:val="1013"/>
        </w:numPr>
      </w:pPr>
      <w:r>
        <w:t xml:space="preserve">Cloud-Dienste &amp; Serverstandort</w:t>
      </w:r>
      <w:r>
        <w:br/>
      </w:r>
    </w:p>
    <w:p>
      <w:pPr>
        <w:pStyle w:val="Compact"/>
        <w:numPr>
          <w:ilvl w:val="0"/>
          <w:numId w:val="1013"/>
        </w:numPr>
      </w:pPr>
      <w:r>
        <w:t xml:space="preserve">Videokonferenzen und Aufzeichnungen</w:t>
      </w:r>
    </w:p>
    <w:bookmarkEnd w:id="41"/>
    <w:bookmarkStart w:id="42" w:name="gruppenarbeit-risikoanalyse-10-min"/>
    <w:p>
      <w:pPr>
        <w:pStyle w:val="Heading2"/>
      </w:pPr>
      <w:r>
        <w:t xml:space="preserve">Gruppenarbeit: Risikoanalyse (10 Min)</w:t>
      </w:r>
    </w:p>
    <w:p>
      <w:pPr>
        <w:pStyle w:val="Compact"/>
        <w:numPr>
          <w:ilvl w:val="0"/>
          <w:numId w:val="1014"/>
        </w:numPr>
      </w:pPr>
      <w:r>
        <w:t xml:space="preserve">Szenario wählen (z.B. Cloud-Dienst, Eltern-Chat, Videounterricht).</w:t>
      </w:r>
      <w:r>
        <w:br/>
      </w:r>
    </w:p>
    <w:p>
      <w:pPr>
        <w:pStyle w:val="Compact"/>
        <w:numPr>
          <w:ilvl w:val="0"/>
          <w:numId w:val="1014"/>
        </w:numPr>
      </w:pPr>
      <w:r>
        <w:t xml:space="preserve">Risiken für Vertraulichkeit, Integrität, Verfügbarkeit sammeln.</w:t>
      </w:r>
      <w:r>
        <w:br/>
      </w:r>
    </w:p>
    <w:p>
      <w:pPr>
        <w:pStyle w:val="Compact"/>
        <w:numPr>
          <w:ilvl w:val="0"/>
          <w:numId w:val="1014"/>
        </w:numPr>
      </w:pPr>
      <w:r>
        <w:t xml:space="preserve">2–3 Massnahmen zur Reduktion festhalten. Austausch in der Gruppe.</w:t>
      </w:r>
    </w:p>
    <w:bookmarkEnd w:id="42"/>
    <w:bookmarkEnd w:id="43"/>
    <w:bookmarkStart w:id="49" w:name="X747f82f5ffa8dd9abe2b6b9ebf3975de20d268d"/>
    <w:p>
      <w:pPr>
        <w:pStyle w:val="Heading1"/>
      </w:pPr>
      <w:r>
        <w:t xml:space="preserve">Wissenschaftliche Perspektiven auf Datenschutz</w:t>
      </w:r>
    </w:p>
    <w:bookmarkStart w:id="44" w:name="privacy-paradox"/>
    <w:p>
      <w:pPr>
        <w:pStyle w:val="Heading2"/>
      </w:pPr>
      <w:r>
        <w:t xml:space="preserve">Privacy Paradox</w:t>
      </w:r>
    </w:p>
    <w:p>
      <w:pPr>
        <w:pStyle w:val="Compact"/>
        <w:numPr>
          <w:ilvl w:val="0"/>
          <w:numId w:val="1015"/>
        </w:numPr>
      </w:pPr>
      <w:r>
        <w:t xml:space="preserve">Menschen halten Datenschutz für wichtig, handeln aber oft widersprüchlich.</w:t>
      </w:r>
      <w:r>
        <w:br/>
      </w:r>
    </w:p>
    <w:p>
      <w:pPr>
        <w:pStyle w:val="Compact"/>
        <w:numPr>
          <w:ilvl w:val="0"/>
          <w:numId w:val="1015"/>
        </w:numPr>
      </w:pPr>
      <w:r>
        <w:t xml:space="preserve">Mögliche Gründe: Wissenslücken, wahrgenommener Nutzen, Gewohnheit und soziale Normen.</w:t>
      </w:r>
      <w:r>
        <w:br/>
      </w:r>
    </w:p>
    <w:p>
      <w:pPr>
        <w:pStyle w:val="Compact"/>
        <w:numPr>
          <w:ilvl w:val="0"/>
          <w:numId w:val="1015"/>
        </w:numPr>
      </w:pPr>
      <w:r>
        <w:t xml:space="preserve">Befunde: Entscheidungen häufig spontan und kontextabhängig.</w:t>
      </w:r>
    </w:p>
    <w:bookmarkEnd w:id="44"/>
    <w:bookmarkStart w:id="45" w:name="privacyconvenience-trade-off"/>
    <w:p>
      <w:pPr>
        <w:pStyle w:val="Heading2"/>
      </w:pPr>
      <w:r>
        <w:t xml:space="preserve">Privacy–Convenience Trade-off</w:t>
      </w:r>
    </w:p>
    <w:p>
      <w:pPr>
        <w:pStyle w:val="Compact"/>
        <w:numPr>
          <w:ilvl w:val="0"/>
          <w:numId w:val="1016"/>
        </w:numPr>
      </w:pPr>
      <w:r>
        <w:t xml:space="preserve">Höherer Komfort erhöht die Zustimmung zur Datenfreigabe (z.B. Standortfreigabe für Navigation).</w:t>
      </w:r>
      <w:r>
        <w:br/>
      </w:r>
    </w:p>
    <w:p>
      <w:pPr>
        <w:pStyle w:val="Compact"/>
        <w:numPr>
          <w:ilvl w:val="0"/>
          <w:numId w:val="1016"/>
        </w:numPr>
      </w:pPr>
      <w:r>
        <w:t xml:space="preserve">Auch sensible Daten werden eher geteilt, wenn der unmittelbare Nutzen hoch erscheint.</w:t>
      </w:r>
    </w:p>
    <w:bookmarkEnd w:id="45"/>
    <w:bookmarkStart w:id="46" w:name="empirische-befunde-kurzüberblick"/>
    <w:p>
      <w:pPr>
        <w:pStyle w:val="Heading2"/>
      </w:pPr>
      <w:r>
        <w:t xml:space="preserve">Empirische Befunde (Kurzüberblick)</w:t>
      </w:r>
    </w:p>
    <w:p>
      <w:pPr>
        <w:pStyle w:val="Compact"/>
        <w:numPr>
          <w:ilvl w:val="0"/>
          <w:numId w:val="1017"/>
        </w:numPr>
      </w:pPr>
      <w:r>
        <w:t xml:space="preserve">Barnes (2006): Jugendliche teilen online oft mehr Informationen als offline – trotz Risikobewusstsein.</w:t>
      </w:r>
      <w:r>
        <w:br/>
      </w:r>
    </w:p>
    <w:p>
      <w:pPr>
        <w:pStyle w:val="Compact"/>
        <w:numPr>
          <w:ilvl w:val="0"/>
          <w:numId w:val="1017"/>
        </w:numPr>
      </w:pPr>
      <w:r>
        <w:t xml:space="preserve">Acquisti, Brandimarte &amp; Loewenstein (2015): Datenschutzentscheidungen sind stark kontext- und emotionsabhängig.</w:t>
      </w:r>
    </w:p>
    <w:bookmarkEnd w:id="46"/>
    <w:bookmarkStart w:id="47" w:name="visualisierung-komfort-vs.-akzeptanz"/>
    <w:p>
      <w:pPr>
        <w:pStyle w:val="Heading2"/>
      </w:pPr>
      <w:r>
        <w:t xml:space="preserve">Visualisierung: Komfort vs. Akzeptanz</w:t>
      </w:r>
    </w:p>
    <w:bookmarkEnd w:id="47"/>
    <w:bookmarkStart w:id="48" w:name="diskussionsimpuls-5-min-1"/>
    <w:p>
      <w:pPr>
        <w:pStyle w:val="Heading2"/>
      </w:pPr>
      <w:r>
        <w:t xml:space="preserve">Diskussionsimpuls (5 Min)</w:t>
      </w:r>
    </w:p>
    <w:p>
      <w:pPr>
        <w:pStyle w:val="Compact"/>
        <w:numPr>
          <w:ilvl w:val="0"/>
          <w:numId w:val="1018"/>
        </w:numPr>
      </w:pPr>
      <w:r>
        <w:t xml:space="preserve">Wo haben Sie persönlich Komfort über Datenschutz gestellt?</w:t>
      </w:r>
      <w:r>
        <w:br/>
      </w:r>
    </w:p>
    <w:p>
      <w:pPr>
        <w:pStyle w:val="Compact"/>
        <w:numPr>
          <w:ilvl w:val="0"/>
          <w:numId w:val="1018"/>
        </w:numPr>
      </w:pPr>
      <w:r>
        <w:t xml:space="preserve">Was würden Sie heute anders entscheiden – und warum?</w:t>
      </w:r>
    </w:p>
    <w:bookmarkEnd w:id="48"/>
    <w:bookmarkEnd w:id="49"/>
    <w:bookmarkStart w:id="52" w:name="datenschutz-im-unterricht-umsetzung"/>
    <w:p>
      <w:pPr>
        <w:pStyle w:val="Heading1"/>
      </w:pPr>
      <w:r>
        <w:t xml:space="preserve">Datenschutz im Unterricht (Umsetzung)</w:t>
      </w:r>
    </w:p>
    <w:bookmarkStart w:id="50" w:name="pädagogische-ansätze"/>
    <w:p>
      <w:pPr>
        <w:pStyle w:val="Heading2"/>
      </w:pPr>
      <w:r>
        <w:t xml:space="preserve">Pädagogische Ansätze</w:t>
      </w:r>
    </w:p>
    <w:p>
      <w:pPr>
        <w:pStyle w:val="Compact"/>
        <w:numPr>
          <w:ilvl w:val="0"/>
          <w:numId w:val="1019"/>
        </w:numPr>
      </w:pPr>
      <w:r>
        <w:t xml:space="preserve">Datenschutz im Rahmen der Medienbildung verankern</w:t>
      </w:r>
      <w:r>
        <w:br/>
      </w:r>
    </w:p>
    <w:p>
      <w:pPr>
        <w:pStyle w:val="Compact"/>
        <w:numPr>
          <w:ilvl w:val="0"/>
          <w:numId w:val="1019"/>
        </w:numPr>
      </w:pPr>
      <w:r>
        <w:t xml:space="preserve">App-/Web-Analyse: Welche Daten werden gesammelt?</w:t>
      </w:r>
      <w:r>
        <w:br/>
      </w:r>
    </w:p>
    <w:p>
      <w:pPr>
        <w:pStyle w:val="Compact"/>
        <w:numPr>
          <w:ilvl w:val="0"/>
          <w:numId w:val="1019"/>
        </w:numPr>
      </w:pPr>
      <w:r>
        <w:t xml:space="preserve">Diskussion zu digitalen Spuren und Profiling</w:t>
      </w:r>
      <w:r>
        <w:br/>
      </w:r>
    </w:p>
    <w:p>
      <w:pPr>
        <w:pStyle w:val="Compact"/>
        <w:numPr>
          <w:ilvl w:val="0"/>
          <w:numId w:val="1019"/>
        </w:numPr>
      </w:pPr>
      <w:r>
        <w:t xml:space="preserve">Reflexion zu Rollen (Schüler*in, Lehrperson, Eltern, Anbieter)</w:t>
      </w:r>
    </w:p>
    <w:bookmarkEnd w:id="50"/>
    <w:bookmarkStart w:id="51" w:name="unterrichtsidee-15-min"/>
    <w:p>
      <w:pPr>
        <w:pStyle w:val="Heading2"/>
      </w:pPr>
      <w:r>
        <w:t xml:space="preserve">Unterrichtsidee (15 Min)</w:t>
      </w:r>
    </w:p>
    <w:p>
      <w:pPr>
        <w:pStyle w:val="Compact"/>
        <w:numPr>
          <w:ilvl w:val="0"/>
          <w:numId w:val="1020"/>
        </w:numPr>
      </w:pPr>
      <w:r>
        <w:t xml:space="preserve">In Zweiergruppen eine Mini-Unterrichtseinheit (20 Min) skizzieren.</w:t>
      </w:r>
      <w:r>
        <w:br/>
      </w:r>
    </w:p>
    <w:p>
      <w:pPr>
        <w:pStyle w:val="Compact"/>
        <w:numPr>
          <w:ilvl w:val="0"/>
          <w:numId w:val="1020"/>
        </w:numPr>
      </w:pPr>
      <w:r>
        <w:t xml:space="preserve">Ziel: Schüler*innen können Risiken benennen und informierte Entscheidungen treffen.</w:t>
      </w:r>
      <w:r>
        <w:br/>
      </w:r>
    </w:p>
    <w:p>
      <w:pPr>
        <w:pStyle w:val="Compact"/>
        <w:numPr>
          <w:ilvl w:val="0"/>
          <w:numId w:val="1020"/>
        </w:numPr>
      </w:pPr>
      <w:r>
        <w:t xml:space="preserve">Beziehen Sie rechtliche Aspekte, Schutzziele und soziologische Perspektiven ein.</w:t>
      </w:r>
      <w:r>
        <w:br/>
      </w:r>
    </w:p>
    <w:p>
      <w:pPr>
        <w:pStyle w:val="Compact"/>
        <w:numPr>
          <w:ilvl w:val="0"/>
          <w:numId w:val="1020"/>
        </w:numPr>
      </w:pPr>
      <w:r>
        <w:t xml:space="preserve">Kurzer Gruppenaustausch (ohne Plenumspräsentation).</w:t>
      </w:r>
    </w:p>
    <w:bookmarkEnd w:id="51"/>
    <w:bookmarkEnd w:id="52"/>
    <w:bookmarkStart w:id="53" w:name="reflexion"/>
    <w:p>
      <w:pPr>
        <w:pStyle w:val="Heading1"/>
      </w:pPr>
      <w:r>
        <w:t xml:space="preserve">Reflexion</w:t>
      </w:r>
    </w:p>
    <w:p>
      <w:pPr>
        <w:pStyle w:val="Compact"/>
        <w:numPr>
          <w:ilvl w:val="0"/>
          <w:numId w:val="1021"/>
        </w:numPr>
      </w:pPr>
      <w:r>
        <w:t xml:space="preserve">Wie beeinflussen meine Einstellungen zum Datenschutz mein Handeln als Lehrperson?</w:t>
      </w:r>
      <w:r>
        <w:br/>
      </w:r>
    </w:p>
    <w:p>
      <w:pPr>
        <w:pStyle w:val="Compact"/>
        <w:numPr>
          <w:ilvl w:val="0"/>
          <w:numId w:val="1021"/>
        </w:numPr>
      </w:pPr>
      <w:r>
        <w:t xml:space="preserve">Wo entstehen Zielkonflikte zwischen Organisation und Datenschutz?</w:t>
      </w:r>
      <w:r>
        <w:br/>
      </w:r>
    </w:p>
    <w:p>
      <w:pPr>
        <w:pStyle w:val="Compact"/>
        <w:numPr>
          <w:ilvl w:val="0"/>
          <w:numId w:val="1021"/>
        </w:numPr>
      </w:pPr>
      <w:r>
        <w:t xml:space="preserve">Welche Strategien setze ich ab morgen um?</w:t>
      </w:r>
    </w:p>
    <w:bookmarkEnd w:id="53"/>
    <w:bookmarkStart w:id="55" w:name="quellen-weiterführendes"/>
    <w:p>
      <w:pPr>
        <w:pStyle w:val="Heading1"/>
      </w:pPr>
      <w:r>
        <w:t xml:space="preserve">Quellen &amp; Weiterführendes</w:t>
      </w:r>
    </w:p>
    <w:p>
      <w:pPr>
        <w:pStyle w:val="Compact"/>
        <w:numPr>
          <w:ilvl w:val="0"/>
          <w:numId w:val="1022"/>
        </w:numPr>
      </w:pPr>
      <w:r>
        <w:t xml:space="preserve">EDÖB – Eidgenössischer Datenschutz- und Öffentlichkeitsbeauftragter</w:t>
      </w:r>
      <w:r>
        <w:br/>
      </w:r>
    </w:p>
    <w:p>
      <w:pPr>
        <w:pStyle w:val="Compact"/>
        <w:numPr>
          <w:ilvl w:val="0"/>
          <w:numId w:val="1022"/>
        </w:numPr>
      </w:pPr>
      <w:r>
        <w:t xml:space="preserve">KDSG Kanton Bern – Datenschutzgesetz des Kantons Bern</w:t>
      </w:r>
      <w:r>
        <w:br/>
      </w:r>
    </w:p>
    <w:p>
      <w:pPr>
        <w:pStyle w:val="Compact"/>
        <w:numPr>
          <w:ilvl w:val="0"/>
          <w:numId w:val="1022"/>
        </w:numPr>
      </w:pPr>
      <w:r>
        <w:t xml:space="preserve">DSG Schweiz – Bundesgesetz über den Datenschutz</w:t>
      </w:r>
      <w:r>
        <w:br/>
      </w:r>
    </w:p>
    <w:p>
      <w:pPr>
        <w:pStyle w:val="Compact"/>
        <w:numPr>
          <w:ilvl w:val="0"/>
          <w:numId w:val="1022"/>
        </w:numPr>
      </w:pPr>
      <w:r>
        <w:t xml:space="preserve">Educa.ch – Datenschutz im Bildungsbereich</w:t>
      </w:r>
      <w:r>
        <w:br/>
      </w:r>
    </w:p>
    <w:p>
      <w:pPr>
        <w:pStyle w:val="Compact"/>
        <w:numPr>
          <w:ilvl w:val="0"/>
          <w:numId w:val="1022"/>
        </w:numPr>
      </w:pPr>
      <w:r>
        <w:t xml:space="preserve">Acquisti, Brandimarte &amp; Loewenstein (2015) – Privacy and human behavior in the age of information</w:t>
      </w:r>
      <w:r>
        <w:br/>
      </w:r>
    </w:p>
    <w:p>
      <w:pPr>
        <w:pStyle w:val="Compact"/>
        <w:numPr>
          <w:ilvl w:val="0"/>
          <w:numId w:val="1022"/>
        </w:numPr>
      </w:pPr>
      <w:r>
        <w:t xml:space="preserve">Barnes (2006) – „Privacy Paradox“ bei Jugendlichen</w:t>
      </w:r>
    </w:p>
    <w:bookmarkStart w:id="54" w:name="bibliographie"/>
    <w:p>
      <w:pPr>
        <w:pStyle w:val="Heading2"/>
      </w:pPr>
      <w:r>
        <w:t xml:space="preserve">Bibliographie</w:t>
      </w:r>
    </w:p>
    <w:bookmarkEnd w:id="54"/>
    <w:bookmarkEnd w:id="5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sv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Digitalität und Datenschutz</dc:title>
  <dc:creator>Richard Conrardy</dc:creator>
  <cp:keywords/>
  <dcterms:created xsi:type="dcterms:W3CDTF">2025-09-16T08:05:56Z</dcterms:created>
  <dcterms:modified xsi:type="dcterms:W3CDTF">2025-09-16T08:05:56Z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date">
    <vt:lpwstr>2025-10-02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institute">
    <vt:lpwstr>PHBern, IS1</vt:lpwstr>
  </property>
  <property fmtid="{D5CDD505-2E9C-101B-9397-08002B2CF9AE}" pid="12" name="institutes">
    <vt:lpwstr/>
  </property>
  <property fmtid="{D5CDD505-2E9C-101B-9397-08002B2CF9AE}" pid="13" name="labels">
    <vt:lpwstr/>
  </property>
  <property fmtid="{D5CDD505-2E9C-101B-9397-08002B2CF9AE}" pid="14" name="room">
    <vt:lpwstr>B302</vt:lpwstr>
  </property>
  <property fmtid="{D5CDD505-2E9C-101B-9397-08002B2CF9AE}" pid="15" name="toc-title">
    <vt:lpwstr>Table of contents</vt:lpwstr>
  </property>
</Properties>
</file>