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bookmarkStart w:id="22" w:name="organisatorisches"/>
    <w:p>
      <w:pPr>
        <w:pStyle w:val="Heading1"/>
      </w:pPr>
      <w:r>
        <w:t xml:space="preserve">Organisatorisches</w:t>
      </w:r>
    </w:p>
    <w:bookmarkStart w:id="20" w:name="ilias"/>
    <w:p>
      <w:pPr>
        <w:pStyle w:val="Heading2"/>
      </w:pPr>
      <w:r>
        <w:t xml:space="preserve">Ilias</w:t>
      </w:r>
    </w:p>
    <w:p>
      <w:pPr>
        <w:pStyle w:val="Compact"/>
        <w:numPr>
          <w:ilvl w:val="0"/>
          <w:numId w:val="1001"/>
        </w:numPr>
      </w:pPr>
      <w:r>
        <w:t xml:space="preserve">2 Treffen: 17.9. &amp; 1.10</w:t>
      </w:r>
    </w:p>
    <w:p>
      <w:pPr>
        <w:pStyle w:val="Compact"/>
        <w:numPr>
          <w:ilvl w:val="0"/>
          <w:numId w:val="1001"/>
        </w:numPr>
      </w:pPr>
      <w:r>
        <w:t xml:space="preserve">Materialien &amp; Abgaben via ILIAS</w:t>
      </w:r>
    </w:p>
    <w:p>
      <w:pPr>
        <w:pStyle w:val="Compact"/>
        <w:numPr>
          <w:ilvl w:val="0"/>
          <w:numId w:val="1001"/>
        </w:numPr>
      </w:pPr>
      <w:r>
        <w:t xml:space="preserve">BYOD: Laptop mitbringen</w:t>
      </w:r>
    </w:p>
    <w:bookmarkEnd w:id="20"/>
    <w:bookmarkStart w:id="21" w:name="workload"/>
    <w:p>
      <w:pPr>
        <w:pStyle w:val="Heading2"/>
      </w:pPr>
      <w:r>
        <w:t xml:space="preserve">Workload</w:t>
      </w:r>
    </w:p>
    <w:p>
      <w:pPr>
        <w:pStyle w:val="Compact"/>
        <w:numPr>
          <w:ilvl w:val="0"/>
          <w:numId w:val="1002"/>
        </w:numPr>
      </w:pPr>
      <w:r>
        <w:t xml:space="preserve">2 × 90 Min. Präsenz</w:t>
      </w:r>
    </w:p>
    <w:p>
      <w:pPr>
        <w:pStyle w:val="Compact"/>
        <w:numPr>
          <w:ilvl w:val="0"/>
          <w:numId w:val="1002"/>
        </w:numPr>
      </w:pPr>
      <w:r>
        <w:t xml:space="preserve">2–3 Stunden Eigenleistung</w:t>
      </w:r>
    </w:p>
    <w:p>
      <w:pPr>
        <w:pStyle w:val="Compact"/>
        <w:numPr>
          <w:ilvl w:val="0"/>
          <w:numId w:val="1002"/>
        </w:numPr>
      </w:pPr>
      <w:r>
        <w:t xml:space="preserve">Abgabe: digitales Prüfprodukt + Reflexion</w:t>
      </w:r>
    </w:p>
    <w:bookmarkEnd w:id="21"/>
    <w:bookmarkEnd w:id="22"/>
    <w:bookmarkStart w:id="40" w:name="beurteilung"/>
    <w:p>
      <w:pPr>
        <w:pStyle w:val="Heading1"/>
      </w:pPr>
      <w:r>
        <w:t xml:space="preserve">Beurteilung</w:t>
      </w:r>
    </w:p>
    <w:bookmarkStart w:id="23" w:name="was-ist-eine-gute-prüfung"/>
    <w:p>
      <w:pPr>
        <w:pStyle w:val="Heading2"/>
      </w:pPr>
      <w:r>
        <w:t xml:space="preserve">Was ist eine gute Prüfung?</w:t>
      </w:r>
    </w:p>
    <w:p>
      <w:pPr>
        <w:pStyle w:val="BlockText"/>
      </w:pPr>
      <w:r>
        <w:t xml:space="preserve">Was macht einen guten Beurteilungsanlass aus?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Austausch mit Person neben Ihnen (3 Min)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Sammlung auf Ilias</w:t>
      </w:r>
    </w:p>
    <w:bookmarkEnd w:id="23"/>
    <w:bookmarkStart w:id="24" w:name="learning-outcomes"/>
    <w:p>
      <w:pPr>
        <w:pStyle w:val="Heading2"/>
      </w:pPr>
      <w:r>
        <w:t xml:space="preserve">Learning Outcomes</w:t>
      </w:r>
    </w:p>
    <w:p>
      <w:pPr>
        <w:pStyle w:val="Compact"/>
        <w:numPr>
          <w:ilvl w:val="0"/>
          <w:numId w:val="1003"/>
        </w:numPr>
      </w:pPr>
      <w:r>
        <w:t xml:space="preserve">Sie analysieren und vergleichen digitale Beurteilungsformate</w:t>
      </w:r>
    </w:p>
    <w:p>
      <w:pPr>
        <w:pStyle w:val="Compact"/>
        <w:numPr>
          <w:ilvl w:val="0"/>
          <w:numId w:val="1003"/>
        </w:numPr>
      </w:pPr>
      <w:r>
        <w:t xml:space="preserve">Sie erstellen einfache digitale Prüfungssettings (formativ &amp; summativ)</w:t>
      </w:r>
    </w:p>
    <w:p>
      <w:pPr>
        <w:pStyle w:val="Compact"/>
        <w:numPr>
          <w:ilvl w:val="0"/>
          <w:numId w:val="1003"/>
        </w:numPr>
      </w:pPr>
      <w:r>
        <w:t xml:space="preserve">Sie berücksichtigen didaktische, technische und ethische Aspekte</w:t>
      </w:r>
    </w:p>
    <w:p>
      <w:pPr>
        <w:pStyle w:val="Compact"/>
        <w:numPr>
          <w:ilvl w:val="0"/>
          <w:numId w:val="1003"/>
        </w:numPr>
      </w:pPr>
      <w:r>
        <w:t xml:space="preserve">Sie können Tools beurteilen hinsichtlich Fairness, Automatisierung und Feedbackqualität</w:t>
      </w:r>
    </w:p>
    <w:bookmarkEnd w:id="24"/>
    <w:bookmarkStart w:id="26" w:name="formativ-vs.-summativ"/>
    <w:p>
      <w:pPr>
        <w:pStyle w:val="Heading2"/>
      </w:pPr>
      <w:r>
        <w:t xml:space="preserve">Formativ vs. Summativ</w:t>
      </w:r>
    </w:p>
    <w:p>
      <w:pPr>
        <w:pStyle w:val="Compact"/>
        <w:numPr>
          <w:ilvl w:val="0"/>
          <w:numId w:val="1004"/>
        </w:numPr>
      </w:pPr>
      <w:r>
        <w:t xml:space="preserve">in Bern LP21,</w:t>
      </w:r>
      <w:r>
        <w:t xml:space="preserve"> </w:t>
      </w:r>
      <w:hyperlink r:id="rId25">
        <w:r>
          <w:rPr>
            <w:rStyle w:val="Hyperlink"/>
          </w:rPr>
          <w:t xml:space="preserve">5.2.3. AHB</w:t>
        </w:r>
      </w:hyperlink>
    </w:p>
    <w:p>
      <w:pPr>
        <w:pStyle w:val="FirstParagraph"/>
      </w:pPr>
      <w:r>
        <w:t xml:space="preserve">@bildungs-undkulturdirektiondeskantonsbern2016</w:t>
      </w:r>
    </w:p>
    <w:p>
      <w:pPr>
        <w:pStyle w:val="BodyText"/>
      </w:pPr>
      <w:r>
        <w:rPr>
          <w:b/>
          <w:bCs/>
        </w:rPr>
        <w:t xml:space="preserve">Formativ</w:t>
      </w:r>
    </w:p>
    <w:p>
      <w:pPr>
        <w:pStyle w:val="BlockText"/>
      </w:pPr>
      <w:r>
        <w:t xml:space="preserve">„Assessment for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Lernunterstützung, Rückmeldung, Anpassung von Unterricht</w:t>
      </w:r>
    </w:p>
    <w:p>
      <w:pPr>
        <w:pStyle w:val="BodyText"/>
      </w:pPr>
      <w:r>
        <w:rPr>
          <w:b/>
          <w:bCs/>
        </w:rPr>
        <w:t xml:space="preserve">Summativ</w:t>
      </w:r>
    </w:p>
    <w:p>
      <w:pPr>
        <w:pStyle w:val="BlockText"/>
      </w:pPr>
      <w:r>
        <w:t xml:space="preserve">„Assessment of learning“</w:t>
      </w:r>
    </w:p>
    <w:p>
      <w:pPr>
        <w:pStyle w:val="FirstParagraph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Bilanz, Selektion, Zertifizierung</w:t>
      </w:r>
    </w:p>
    <w:bookmarkEnd w:id="26"/>
    <w:bookmarkStart w:id="27" w:name="weshalb-digitale-medien"/>
    <w:p>
      <w:pPr>
        <w:pStyle w:val="Heading2"/>
      </w:pPr>
      <w:r>
        <w:t xml:space="preserve">Weshalb digitale Medien?</w:t>
      </w:r>
    </w:p>
    <w:p>
      <w:pPr>
        <w:pStyle w:val="Compact"/>
        <w:numPr>
          <w:ilvl w:val="0"/>
          <w:numId w:val="1005"/>
        </w:numPr>
      </w:pPr>
      <w:r>
        <w:t xml:space="preserve">Effizienzgewinne</w:t>
      </w:r>
    </w:p>
    <w:p>
      <w:pPr>
        <w:pStyle w:val="Compact"/>
        <w:numPr>
          <w:ilvl w:val="0"/>
          <w:numId w:val="1005"/>
        </w:numPr>
      </w:pPr>
      <w:r>
        <w:t xml:space="preserve">Wiederverwendbarkeit und Versionierung</w:t>
      </w:r>
    </w:p>
    <w:p>
      <w:pPr>
        <w:pStyle w:val="Compact"/>
        <w:numPr>
          <w:ilvl w:val="0"/>
          <w:numId w:val="1005"/>
        </w:numPr>
      </w:pPr>
      <w:r>
        <w:t xml:space="preserve">Multimedialität und Interaktivität</w:t>
      </w:r>
    </w:p>
    <w:p>
      <w:pPr>
        <w:pStyle w:val="Compact"/>
        <w:numPr>
          <w:ilvl w:val="0"/>
          <w:numId w:val="1005"/>
        </w:numPr>
      </w:pPr>
      <w:r>
        <w:t xml:space="preserve">Lernbegleitung statt nur Kontrolle</w:t>
      </w:r>
    </w:p>
    <w:bookmarkEnd w:id="27"/>
    <w:bookmarkStart w:id="29" w:name="mc-tests"/>
    <w:p>
      <w:pPr>
        <w:pStyle w:val="Heading2"/>
      </w:pPr>
      <w:r>
        <w:t xml:space="preserve">MC-Tests</w:t>
      </w:r>
    </w:p>
    <w:bookmarkStart w:id="28" w:name="vorteile"/>
    <w:p>
      <w:pPr>
        <w:pStyle w:val="Heading3"/>
      </w:pPr>
      <w:r>
        <w:t xml:space="preserve">Vorteile</w:t>
      </w:r>
    </w:p>
    <w:p>
      <w:pPr>
        <w:pStyle w:val="Compact"/>
        <w:numPr>
          <w:ilvl w:val="0"/>
          <w:numId w:val="1006"/>
        </w:numPr>
      </w:pPr>
      <w:r>
        <w:t xml:space="preserve">Reproduktion &amp; Verständnis prüfen (Fakten, Begriffe, einfache Konzepte)</w:t>
      </w:r>
    </w:p>
    <w:p>
      <w:pPr>
        <w:pStyle w:val="Compact"/>
        <w:numPr>
          <w:ilvl w:val="0"/>
          <w:numId w:val="1006"/>
        </w:numPr>
      </w:pPr>
      <w:r>
        <w:t xml:space="preserve">Automatisierte Auswertung möglich</w:t>
      </w:r>
    </w:p>
    <w:p>
      <w:pPr>
        <w:pStyle w:val="Compact"/>
        <w:numPr>
          <w:ilvl w:val="0"/>
          <w:numId w:val="1006"/>
        </w:numPr>
      </w:pPr>
      <w:r>
        <w:t xml:space="preserve">Objektivität hoch bei gutem Itemdesign</w:t>
      </w:r>
    </w:p>
    <w:p>
      <w:pPr>
        <w:pStyle w:val="Compact"/>
        <w:numPr>
          <w:ilvl w:val="0"/>
          <w:numId w:val="1006"/>
        </w:numPr>
      </w:pPr>
      <w:r>
        <w:t xml:space="preserve">Reliabilität sehr gut.</w:t>
      </w:r>
    </w:p>
    <w:bookmarkEnd w:id="28"/>
    <w:bookmarkEnd w:id="29"/>
    <w:bookmarkStart w:id="32" w:name="mc-tests-1"/>
    <w:p>
      <w:pPr>
        <w:pStyle w:val="Heading2"/>
      </w:pPr>
      <w:r>
        <w:t xml:space="preserve">MC-Tests</w:t>
      </w:r>
    </w:p>
    <w:bookmarkStart w:id="30" w:name="herausforderungen"/>
    <w:p>
      <w:pPr>
        <w:pStyle w:val="Heading3"/>
      </w:pPr>
      <w:r>
        <w:t xml:space="preserve">Herausforderungen</w:t>
      </w:r>
    </w:p>
    <w:p>
      <w:pPr>
        <w:pStyle w:val="Compact"/>
        <w:numPr>
          <w:ilvl w:val="0"/>
          <w:numId w:val="1007"/>
        </w:numPr>
      </w:pPr>
      <w:r>
        <w:t xml:space="preserve">gute Distraktoren</w:t>
      </w:r>
    </w:p>
    <w:p>
      <w:pPr>
        <w:pStyle w:val="Compact"/>
        <w:numPr>
          <w:ilvl w:val="0"/>
          <w:numId w:val="1007"/>
        </w:numPr>
      </w:pPr>
      <w:r>
        <w:t xml:space="preserve">Taxonomiestufen beachten</w:t>
      </w:r>
      <w:r>
        <w:t xml:space="preserve"> </w:t>
      </w:r>
      <w:r>
        <w:t xml:space="preserve">@anderson2001</w:t>
      </w:r>
    </w:p>
    <w:p>
      <w:pPr>
        <w:pStyle w:val="Compact"/>
        <w:numPr>
          <w:ilvl w:val="0"/>
          <w:numId w:val="1007"/>
        </w:numPr>
      </w:pPr>
      <w:r>
        <w:t xml:space="preserve">Rateanwortverhalten vermeiden</w:t>
      </w:r>
    </w:p>
    <w:bookmarkEnd w:id="30"/>
    <w:bookmarkStart w:id="31" w:name="tools"/>
    <w:p>
      <w:pPr>
        <w:pStyle w:val="Heading3"/>
      </w:pPr>
      <w:r>
        <w:t xml:space="preserve">Tools</w:t>
      </w:r>
    </w:p>
    <w:p>
      <w:pPr>
        <w:pStyle w:val="FirstParagraph"/>
      </w:pPr>
      <w:r>
        <w:t xml:space="preserve">MS-Forms, Google-Forms, LearningView, Pen &amp; Paper</w:t>
      </w:r>
    </w:p>
    <w:p>
      <w:pPr>
        <w:pStyle w:val="BodyText"/>
      </w:pPr>
      <w:r>
        <w:t xml:space="preserve">Weitere Literatur:</w:t>
      </w:r>
      <w:r>
        <w:t xml:space="preserve"> </w:t>
      </w:r>
      <w:r>
        <w:t xml:space="preserve">@porst2014</w:t>
      </w:r>
      <w:r>
        <w:t xml:space="preserve">,</w:t>
      </w:r>
      <w:r>
        <w:t xml:space="preserve"> </w:t>
      </w:r>
      <w:r>
        <w:t xml:space="preserve">@krebs2004</w:t>
      </w:r>
    </w:p>
    <w:bookmarkEnd w:id="31"/>
    <w:bookmarkEnd w:id="32"/>
    <w:bookmarkStart w:id="33" w:name="beispiel"/>
    <w:p>
      <w:pPr>
        <w:pStyle w:val="Heading2"/>
      </w:pPr>
      <w:r>
        <w:t xml:space="preserve">Beispiel</w:t>
      </w:r>
    </w:p>
    <w:p>
      <w:pPr>
        <w:pStyle w:val="FirstParagraph"/>
      </w:pPr>
      <w:r>
        <w:t xml:space="preserve">Lineare Gleichungen mit einer Unbekannten können:</w:t>
      </w:r>
    </w:p>
    <w:p>
      <w:pPr>
        <w:pStyle w:val="Compact"/>
        <w:numPr>
          <w:ilvl w:val="0"/>
          <w:numId w:val="1008"/>
        </w:numPr>
      </w:pPr>
      <w:r>
        <w:t xml:space="preserve">keine Lösung haben.</w:t>
      </w:r>
    </w:p>
    <w:p>
      <w:pPr>
        <w:pStyle w:val="Compact"/>
        <w:numPr>
          <w:ilvl w:val="0"/>
          <w:numId w:val="1009"/>
        </w:numPr>
      </w:pPr>
      <w:r>
        <w:t xml:space="preserve">genau eine Lösung haben.</w:t>
      </w:r>
    </w:p>
    <w:p>
      <w:pPr>
        <w:pStyle w:val="Compact"/>
        <w:numPr>
          <w:ilvl w:val="0"/>
          <w:numId w:val="1010"/>
        </w:numPr>
      </w:pPr>
      <w:r>
        <w:t xml:space="preserve">genau zwei Lösungen haben.</w:t>
      </w:r>
    </w:p>
    <w:p>
      <w:pPr>
        <w:pStyle w:val="Compact"/>
        <w:numPr>
          <w:ilvl w:val="0"/>
          <w:numId w:val="1011"/>
        </w:numPr>
      </w:pPr>
      <w:r>
        <w:t xml:space="preserve">mehr als zwei Lösungen haben.</w:t>
      </w:r>
    </w:p>
    <w:bookmarkEnd w:id="33"/>
    <w:bookmarkStart w:id="35" w:name="beispiel-2"/>
    <w:p>
      <w:pPr>
        <w:pStyle w:val="Heading2"/>
      </w:pPr>
      <w:r>
        <w:t xml:space="preserve">Beispiel 2</w:t>
      </w:r>
    </w:p>
    <w:p>
      <w:pPr>
        <w:pStyle w:val="FirstParagraph"/>
      </w:pPr>
      <w:r>
        <w:t xml:space="preserve">Daten vs. Informationen, welche Aussagen sind wahr?</w:t>
      </w:r>
    </w:p>
    <w:p>
      <w:pPr>
        <w:pStyle w:val="Compact"/>
        <w:numPr>
          <w:ilvl w:val="0"/>
          <w:numId w:val="1012"/>
        </w:numPr>
      </w:pPr>
      <w:r>
        <w:t xml:space="preserve">Daten sind immer wahr, Informationen können falsch sein.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Daten enthalten schon Bedeutung.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Daten werden erst durch Interpretation zu Informationen.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Informationen sind nur in Zahlen darstellbar.</w:t>
      </w:r>
    </w:p>
    <w:p>
      <w:pPr>
        <w:pStyle w:val="FirstParagraph"/>
      </w:pPr>
      <w:r>
        <w:t xml:space="preserve">vgl.</w:t>
      </w:r>
      <w:r>
        <w:t xml:space="preserve"> </w:t>
      </w:r>
      <w:hyperlink r:id="rId34">
        <w:r>
          <w:rPr>
            <w:rStyle w:val="Hyperlink"/>
          </w:rPr>
          <w:t xml:space="preserve">Wissenspyramide</w:t>
        </w:r>
      </w:hyperlink>
    </w:p>
    <w:bookmarkEnd w:id="35"/>
    <w:bookmarkStart w:id="36" w:name="übung"/>
    <w:p>
      <w:pPr>
        <w:pStyle w:val="Heading2"/>
      </w:pPr>
      <w:r>
        <w:t xml:space="preserve">Übung</w:t>
      </w:r>
    </w:p>
    <w:p>
      <w:pPr>
        <w:pStyle w:val="FirstParagraph"/>
      </w:pPr>
      <w:r>
        <w:t xml:space="preserve">Formulieren Sie je 2 MC-Fragen, einmal summativ und einmal formativ.</w:t>
      </w:r>
    </w:p>
    <w:p>
      <w:pPr>
        <w:pStyle w:val="BodyText"/>
      </w:pPr>
      <w:r>
        <w:t xml:space="preserve">Besprechen Sie die Fragen mit ihrem Nachbarn.</w:t>
      </w:r>
    </w:p>
    <w:bookmarkEnd w:id="36"/>
    <w:bookmarkStart w:id="37" w:name="gebote-der-umfrageformulierung"/>
    <w:p>
      <w:pPr>
        <w:pStyle w:val="Heading2"/>
      </w:pPr>
      <w:r>
        <w:t xml:space="preserve">10 Gebote der (Um)Frageformulierung</w:t>
      </w:r>
    </w:p>
    <w:p>
      <w:pPr>
        <w:pStyle w:val="Compact"/>
        <w:numPr>
          <w:ilvl w:val="0"/>
          <w:numId w:val="1016"/>
        </w:numPr>
      </w:pPr>
      <w:r>
        <w:t xml:space="preserve">Du sollst einfache, unzweideutige Begriffe verwenden, die von allen Befragten in gleicher Weise verstanden werden!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lange und komplexe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hypothetische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doppelte Stimuli und Verneinungen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Unterstellungen und suggestive Fragen vermeiden!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vermeiden, die auf Informationen abzielen, über die viele Befragte mutmaßlich nicht verfügen!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Fragen mit eindeutigem zeitlichen Bezug verwenden!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Antwortkategorien verwenden, die erschöpfend und disjunkt (überschneidungsfrei) sind!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sicherstellen, dass der Kontext einer Frage sich nicht (unkontrolliert) auf deren Beantwortung auswirkt!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Du sollst unklare Begriffe definieren!</w:t>
      </w:r>
    </w:p>
    <w:p>
      <w:pPr>
        <w:pStyle w:val="FirstParagraph"/>
      </w:pPr>
      <w:r>
        <w:t xml:space="preserve">[@porst2014, S.99]</w:t>
      </w:r>
    </w:p>
    <w:bookmarkEnd w:id="37"/>
    <w:bookmarkStart w:id="38" w:name="textverarbeitungsprogramme"/>
    <w:p>
      <w:pPr>
        <w:pStyle w:val="Heading2"/>
      </w:pPr>
      <w:r>
        <w:t xml:space="preserve">Textverarbeitungsprogramme</w:t>
      </w:r>
    </w:p>
    <w:p>
      <w:pPr>
        <w:pStyle w:val="Compact"/>
        <w:numPr>
          <w:ilvl w:val="0"/>
          <w:numId w:val="1017"/>
        </w:numPr>
      </w:pPr>
      <w:r>
        <w:t xml:space="preserve">MSWord</w:t>
      </w:r>
    </w:p>
    <w:p>
      <w:pPr>
        <w:pStyle w:val="Compact"/>
        <w:numPr>
          <w:ilvl w:val="0"/>
          <w:numId w:val="1017"/>
        </w:numPr>
      </w:pPr>
      <w:r>
        <w:t xml:space="preserve">$\LaTeX$</w:t>
      </w:r>
      <w:r>
        <w:t xml:space="preserve"> </w:t>
      </w:r>
      <w:r>
        <w:t xml:space="preserve">und Quarto</w:t>
      </w:r>
    </w:p>
    <w:p>
      <w:pPr>
        <w:pStyle w:val="Compact"/>
        <w:numPr>
          <w:ilvl w:val="0"/>
          <w:numId w:val="1017"/>
        </w:numPr>
      </w:pPr>
      <w:r>
        <w:t xml:space="preserve">Versionierung</w:t>
      </w:r>
    </w:p>
    <w:p>
      <w:pPr>
        <w:pStyle w:val="FirstParagraph"/>
      </w:pPr>
      <w:r>
        <w:t xml:space="preserve">Empfehlung: Sauberes Layout, Antwortfelder vorgeben</w:t>
      </w:r>
    </w:p>
    <w:bookmarkEnd w:id="38"/>
    <w:bookmarkStart w:id="39" w:name="bibliographie"/>
    <w:p>
      <w:pPr>
        <w:pStyle w:val="Heading2"/>
      </w:pPr>
      <w:r>
        <w:t xml:space="preserve">Bibliographie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be.lehrplan.ch/index.php?code=e%7C92%7C5#102mWGPxSAR8AFePDMWqVh45MaUsKm" TargetMode="External" /><Relationship Type="http://schemas.openxmlformats.org/officeDocument/2006/relationships/hyperlink" Id="rId34" Target="https://derwirtschaftsinformatiker.de/2012/09/12/it-management/wissenspyramide-wik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2025-10-08T13:09:10Z</dcterms:created>
  <dcterms:modified xsi:type="dcterms:W3CDTF">2025-10-08T13:09:10Z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