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svg" ContentType="image/svg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bookmarkStart w:id="41" w:name="datenschutz"/>
    <w:p>
      <w:pPr>
        <w:pStyle w:val="Heading1"/>
      </w:pPr>
      <w:r>
        <w:t xml:space="preserve">Datenschutz</w:t>
      </w:r>
    </w:p>
    <w:bookmarkStart w:id="21" w:name="Xb0e10b27d48d83bae727cf33fa56804d1877a9b"/>
    <w:p>
      <w:pPr>
        <w:pStyle w:val="Heading2"/>
      </w:pPr>
      <w:r>
        <w:t xml:space="preserve">CCC - Was schützt eigentlich der Datenschutz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https://www.youtube.com/watch?v=sY7l8yPunNM</w:t>
        </w:r>
      </w:hyperlink>
    </w:p>
    <w:p>
      <w:pPr>
        <w:pStyle w:val="BodyText"/>
      </w:pPr>
      <w:r>
        <w:t xml:space="preserve">@rehak2018</w:t>
      </w:r>
    </w:p>
    <w:bookmarkEnd w:id="21"/>
    <w:bookmarkStart w:id="22" w:name="X79da6625a839e6886eecb4152d60bbbba4691bd"/>
    <w:p>
      <w:pPr>
        <w:pStyle w:val="Heading2"/>
      </w:pPr>
      <w:r>
        <w:t xml:space="preserve">Datenschutz als sozialwissenschaftlicher Begriff</w:t>
      </w:r>
    </w:p>
    <w:p>
      <w:pPr>
        <w:pStyle w:val="Compact"/>
        <w:numPr>
          <w:ilvl w:val="0"/>
          <w:numId w:val="1001"/>
        </w:numPr>
      </w:pPr>
      <w:r>
        <w:t xml:space="preserve">Machtasymmetrien</w:t>
      </w:r>
    </w:p>
    <w:p>
      <w:pPr>
        <w:pStyle w:val="Compact"/>
        <w:numPr>
          <w:ilvl w:val="1"/>
          <w:numId w:val="1002"/>
        </w:numPr>
      </w:pPr>
      <w:r>
        <w:t xml:space="preserve">Durchsetzungsmacht</w:t>
      </w:r>
    </w:p>
    <w:p>
      <w:pPr>
        <w:pStyle w:val="Compact"/>
        <w:numPr>
          <w:ilvl w:val="1"/>
          <w:numId w:val="1002"/>
        </w:numPr>
      </w:pPr>
      <w:r>
        <w:t xml:space="preserve">Verhinderungsmacht</w:t>
      </w:r>
    </w:p>
    <w:p>
      <w:pPr>
        <w:pStyle w:val="Compact"/>
        <w:numPr>
          <w:ilvl w:val="1"/>
          <w:numId w:val="1002"/>
        </w:numPr>
      </w:pPr>
      <w:r>
        <w:t xml:space="preserve">Definitionsmacht</w:t>
      </w:r>
    </w:p>
    <w:p>
      <w:pPr>
        <w:pStyle w:val="FirstParagraph"/>
      </w:pPr>
      <w:r>
        <w:t xml:space="preserve">@rehak2018</w:t>
      </w:r>
    </w:p>
    <w:bookmarkEnd w:id="22"/>
    <w:bookmarkStart w:id="23" w:name="privatsheitsparadox"/>
    <w:p>
      <w:pPr>
        <w:pStyle w:val="Heading2"/>
      </w:pPr>
      <w:r>
        <w:t xml:space="preserve">Privatsheitsparadox</w:t>
      </w:r>
    </w:p>
    <w:p>
      <w:pPr>
        <w:pStyle w:val="BlockText"/>
      </w:pPr>
      <w:r>
        <w:t xml:space="preserve">Dass Personen mit Organisationen interagieren, die Personen existentiell gefährlich werden können und denen sie sich trotzdem ausliefern (müssen), gehört zum schlichten Alltagswissen spätestens seit der Schule.</w:t>
      </w:r>
    </w:p>
    <w:p>
      <w:pPr>
        <w:pStyle w:val="BlockText"/>
      </w:pPr>
      <w:r>
        <w:t xml:space="preserve">@rost2013</w:t>
      </w:r>
    </w:p>
    <w:bookmarkEnd w:id="23"/>
    <w:bookmarkStart w:id="25" w:name="datenschutzrecht-für-lehrpersonen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Dieses Gesetz dient dem Schutz von Personen vor missbräuchlicher Datenbearbeitung durch Behörden.</w:t>
      </w:r>
    </w:p>
    <w:p>
      <w:pPr>
        <w:pStyle w:val="BodyText"/>
      </w:pPr>
      <w:r>
        <w:t xml:space="preserve">Art.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Dieses Gesetz gilt für jedes Bearbeiten von Personendaten durch Behörden.</w:t>
      </w:r>
    </w:p>
    <w:p>
      <w:pPr>
        <w:pStyle w:val="BodyText"/>
      </w:pPr>
      <w:r>
        <w:t xml:space="preserve">Art. 4 Abs. 1</w:t>
      </w:r>
      <w:hyperlink r:id="rId24">
        <w:r>
          <w:rPr>
            <w:rStyle w:val="Hyperlink"/>
          </w:rPr>
          <w:t xml:space="preserve">KDSG</w:t>
        </w:r>
      </w:hyperlink>
    </w:p>
    <w:bookmarkEnd w:id="25"/>
    <w:bookmarkStart w:id="26" w:name="datenschutzrecht-für-lehrpersonen-1"/>
    <w:p>
      <w:pPr>
        <w:pStyle w:val="Heading2"/>
      </w:pPr>
      <w:r>
        <w:t xml:space="preserve">Datenschutzrecht für Lehrpersonen</w:t>
      </w:r>
    </w:p>
    <w:p>
      <w:pPr>
        <w:pStyle w:val="FirstParagraph"/>
      </w:pPr>
      <w:r>
        <w:t xml:space="preserve">Personendaten dürfen nur bearbeitet werden, wenn das Gesetz ausdrücklich dazu ermächtigt oder wenn das Bearbeiten der Erfüllung einer gesetzlichen Aufgabe dient.</w:t>
      </w:r>
    </w:p>
    <w:p>
      <w:pPr>
        <w:pStyle w:val="BodyText"/>
      </w:pPr>
      <w:r>
        <w:t xml:space="preserve">Art. 5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p>
      <w:pPr>
        <w:pStyle w:val="BodyText"/>
      </w:pPr>
      <w:r>
        <w:t xml:space="preserve">Gemeinden und andere gemeinderechtliche Körperschaften sowie die Landeskirchen und ihre regionalen Einheiten bezeichnen für ihren Bereich eine eigene Aufsichtsstelle.</w:t>
      </w:r>
    </w:p>
    <w:p>
      <w:pPr>
        <w:pStyle w:val="BodyText"/>
      </w:pPr>
      <w:r>
        <w:t xml:space="preserve">Art. 33 Abs. 1</w:t>
      </w:r>
      <w:r>
        <w:t xml:space="preserve"> </w:t>
      </w:r>
      <w:hyperlink r:id="rId24">
        <w:r>
          <w:rPr>
            <w:rStyle w:val="Hyperlink"/>
          </w:rPr>
          <w:t xml:space="preserve">KDSG</w:t>
        </w:r>
      </w:hyperlink>
    </w:p>
    <w:bookmarkEnd w:id="26"/>
    <w:bookmarkStart w:id="28" w:name="datenschutzrecht-als-unterrichtsinhalt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Dieses Gesetz gilt für die Bearbeitung von Personendaten natürlicher Personen durch:</w:t>
      </w:r>
      <w:r>
        <w:t xml:space="preserve"> </w:t>
      </w:r>
      <w:r>
        <w:t xml:space="preserve">a.</w:t>
      </w:r>
      <w:r>
        <w:t xml:space="preserve"> </w:t>
      </w:r>
      <w:r>
        <w:t xml:space="preserve">private Personen;</w:t>
      </w:r>
      <w:r>
        <w:t xml:space="preserve"> </w:t>
      </w:r>
      <w:r>
        <w:t xml:space="preserve">b.</w:t>
      </w:r>
      <w:r>
        <w:t xml:space="preserve"> </w:t>
      </w:r>
      <w:r>
        <w:t xml:space="preserve">Bundesorgane.</w:t>
      </w:r>
    </w:p>
    <w:p>
      <w:pPr>
        <w:pStyle w:val="BodyText"/>
      </w:pPr>
      <w:r>
        <w:t xml:space="preserve">Art. 2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p>
      <w:pPr>
        <w:pStyle w:val="BodyText"/>
      </w:pPr>
      <w:r>
        <w:t xml:space="preserve">Der Verantwortliche und der Auftragsbearbeiter gewährleisten durch geeignete technische und organisatorische Massnahmen eine dem Risiko angemessene Datensicherheit.</w:t>
      </w:r>
    </w:p>
    <w:p>
      <w:pPr>
        <w:pStyle w:val="BodyText"/>
      </w:pPr>
      <w:r>
        <w:t xml:space="preserve">Art. 8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8"/>
    <w:bookmarkStart w:id="29" w:name="datenschutzrecht-als-unterrichtsinhalt-1"/>
    <w:p>
      <w:pPr>
        <w:pStyle w:val="Heading2"/>
      </w:pPr>
      <w:r>
        <w:t xml:space="preserve">Datenschutzrecht als Unterrichtsinhalt</w:t>
      </w:r>
    </w:p>
    <w:p>
      <w:pPr>
        <w:pStyle w:val="FirstParagraph"/>
      </w:pPr>
      <w:r>
        <w:t xml:space="preserve">Jede Person kann vom Verantwortlichen Auskunft darüber verlangen, ob Personendaten über sie bearbeitet werden.</w:t>
      </w:r>
    </w:p>
    <w:p>
      <w:pPr>
        <w:pStyle w:val="BodyText"/>
      </w:pPr>
      <w:r>
        <w:t xml:space="preserve">Art. 25 Abs 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29"/>
    <w:bookmarkStart w:id="33" w:name="geldbussen-bzw.-strafen"/>
    <w:p>
      <w:pPr>
        <w:pStyle w:val="Heading2"/>
      </w:pPr>
      <w:r>
        <w:t xml:space="preserve">Geldbussen, bzw. Strafen</w:t>
      </w:r>
    </w:p>
    <w:bookmarkStart w:id="30" w:name="section"/>
    <w:p>
      <w:pPr>
        <w:pStyle w:val="Heading3"/>
      </w:pPr>
      <w:r>
        <w:t xml:space="preserve">🐈</w:t>
      </w:r>
    </w:p>
    <w:p>
      <w:pPr>
        <w:pStyle w:val="FirstParagraph"/>
      </w:pPr>
      <w:r>
        <w:t xml:space="preserve">Mit Busse bis zu 250 000 Franken werden private Personen auf Antrag bestraft, die vorsätzlich:</w:t>
      </w:r>
    </w:p>
    <w:p>
      <w:pPr>
        <w:pStyle w:val="BodyText"/>
      </w:pPr>
      <w:r>
        <w:t xml:space="preserve">Art. 61</w:t>
      </w:r>
      <w:r>
        <w:t xml:space="preserve"> </w:t>
      </w:r>
      <w:hyperlink r:id="rId27">
        <w:r>
          <w:rPr>
            <w:rStyle w:val="Hyperlink"/>
          </w:rPr>
          <w:t xml:space="preserve">DSG</w:t>
        </w:r>
      </w:hyperlink>
    </w:p>
    <w:bookmarkEnd w:id="30"/>
    <w:bookmarkStart w:id="32" w:name="section-1"/>
    <w:p>
      <w:pPr>
        <w:pStyle w:val="Heading3"/>
      </w:pPr>
      <w:r>
        <w:t xml:space="preserve">🐅</w:t>
      </w:r>
    </w:p>
    <w:p>
      <w:pPr>
        <w:pStyle w:val="FirstParagraph"/>
      </w:pPr>
      <w:r>
        <w:t xml:space="preserve">Bei Verstößen gegen die folgenden Bestimmungen werden im Einklang mit Absatz 2 Geldbußen von bis zu 20 000 000 EUR oder im Fall eines Unternehmens von bis zu 4 % seines gesamten weltweit erzielten Jahresumsatzes des vorangegangenen Geschäftsjahrs verhängt, je nachdem, welcher der Beträge höher ist:</w:t>
      </w:r>
    </w:p>
    <w:p>
      <w:pPr>
        <w:pStyle w:val="BodyText"/>
      </w:pPr>
      <w:r>
        <w:t xml:space="preserve">Art. 83</w:t>
      </w:r>
      <w:r>
        <w:t xml:space="preserve"> </w:t>
      </w:r>
      <w:hyperlink r:id="rId31">
        <w:r>
          <w:rPr>
            <w:rStyle w:val="Hyperlink"/>
          </w:rPr>
          <w:t xml:space="preserve">DSGVO</w:t>
        </w:r>
      </w:hyperlink>
    </w:p>
    <w:bookmarkEnd w:id="32"/>
    <w:bookmarkEnd w:id="33"/>
    <w:bookmarkStart w:id="39" w:name="datensicherheit"/>
    <w:p>
      <w:pPr>
        <w:pStyle w:val="Heading2"/>
      </w:pPr>
      <w:r>
        <w:t xml:space="preserve">Datensicherheit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fig-schutzziele"/>
          <w:p>
            <w:pPr>
              <w:pStyle w:val="Compact"/>
              <w:jc w:val="center"/>
            </w:pPr>
            <w:r>
              <w:drawing>
                <wp:inline>
                  <wp:extent cx="1781175" cy="14001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enschutz/Datenschutz-Schutzziele.sv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00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</w:t>
            </w:r>
            <w:r>
              <w:t xml:space="preserve"> </w:t>
            </w:r>
            <w:r>
              <w:t xml:space="preserve">@hansen2015</w:t>
            </w:r>
          </w:p>
          <w:bookmarkEnd w:id="38"/>
        </w:tc>
      </w:tr>
    </w:tbl>
    <w:bookmarkEnd w:id="39"/>
    <w:bookmarkStart w:id="40" w:name="bibliographie"/>
    <w:p>
      <w:pPr>
        <w:pStyle w:val="Heading2"/>
      </w:pPr>
      <w:r>
        <w:t xml:space="preserve">Bibliographie</w:t>
      </w:r>
    </w:p>
    <w:bookmarkEnd w:id="40"/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svg" /><Relationship Type="http://schemas.openxmlformats.org/officeDocument/2006/relationships/image" Id="rId37" Target="media/rId37.png" /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ur-lex.europa.eu/legal-content/DE/TXT/?uri=CELEX%3A32016R0679" TargetMode="External" /><Relationship Type="http://schemas.openxmlformats.org/officeDocument/2006/relationships/hyperlink" Id="rId24" Target="https://www.belex.sites.be.ch/app/de/texts_of_law/152.04" TargetMode="External" /><Relationship Type="http://schemas.openxmlformats.org/officeDocument/2006/relationships/hyperlink" Id="rId27" Target="https://www.fedlex.admin.ch/eli/cc/2022/491/de" TargetMode="External" /><Relationship Type="http://schemas.openxmlformats.org/officeDocument/2006/relationships/hyperlink" Id="rId20" Target="https://www.youtube.com/watch?v=sY7l8yPun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2025-10-08T13:20:44Z</dcterms:created>
  <dcterms:modified xsi:type="dcterms:W3CDTF">2025-10-08T13:20:44Z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