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Datenschutz- und Urheberrecht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2025-10-09</w:t>
      </w:r>
    </w:p>
    <w:bookmarkStart w:id="27" w:name="urheberrecht"/>
    <w:p>
      <w:pPr>
        <w:pStyle w:val="Heading1"/>
      </w:pPr>
      <w:r>
        <w:t xml:space="preserve">Urheberrecht</w:t>
      </w:r>
    </w:p>
    <w:bookmarkStart w:id="21" w:name="urheberrechtsgesetz-urg"/>
    <w:p>
      <w:pPr>
        <w:pStyle w:val="Heading2"/>
      </w:pPr>
      <w:r>
        <w:t xml:space="preserve">Urheberrechtsgesetz (URG)</w:t>
      </w:r>
    </w:p>
    <w:p>
      <w:pPr>
        <w:pStyle w:val="FirstParagraph"/>
      </w:pPr>
      <w:hyperlink r:id="rId20">
        <w:r>
          <w:rPr>
            <w:rStyle w:val="Hyperlink"/>
          </w:rPr>
          <w:t xml:space="preserve">Art. 19 Abs.3 URG</w:t>
        </w:r>
      </w:hyperlink>
      <w:r>
        <w:t xml:space="preserve"> </w:t>
      </w:r>
      <w:r>
        <w:t xml:space="preserve">Ausserhalb des privaten Kreises nach Absatz 1 Buchstabe a sind nicht zulässig:</w:t>
      </w:r>
    </w:p>
    <w:p>
      <w:pPr>
        <w:pStyle w:val="Compact"/>
        <w:numPr>
          <w:ilvl w:val="0"/>
          <w:numId w:val="1001"/>
        </w:numPr>
      </w:pPr>
      <w:r>
        <w:t xml:space="preserve">die vollständige oder weitgehend vollständige Vervielfältigung im Handel erhältlicher Werkexemplare;</w:t>
      </w:r>
    </w:p>
    <w:p>
      <w:pPr>
        <w:pStyle w:val="FirstParagraph"/>
      </w:pPr>
      <w:hyperlink r:id="rId20">
        <w:r>
          <w:rPr>
            <w:rStyle w:val="Hyperlink"/>
          </w:rPr>
          <w:t xml:space="preserve">Art. 25 Abs.1 URG</w:t>
        </w:r>
      </w:hyperlink>
      <w:r>
        <w:t xml:space="preserve"> </w:t>
      </w:r>
      <w:r>
        <w:t xml:space="preserve">Veröffentlichte Werke dürfen zitiert werden, wenn das Zitat zur Erläuterung, als Hinweis oder zur Veranschaulichung dient und der Umfang des Zitats durch diesen Zweck gerechtfertigt ist.</w:t>
      </w:r>
    </w:p>
    <w:bookmarkEnd w:id="21"/>
    <w:bookmarkStart w:id="23" w:name="freie-lizenzen"/>
    <w:p>
      <w:pPr>
        <w:pStyle w:val="Heading2"/>
      </w:pPr>
      <w:r>
        <w:t xml:space="preserve">Freie Lizenzen</w:t>
      </w:r>
    </w:p>
    <w:p>
      <w:pPr>
        <w:pStyle w:val="Compact"/>
        <w:numPr>
          <w:ilvl w:val="0"/>
          <w:numId w:val="1002"/>
        </w:numPr>
      </w:pPr>
      <w:r>
        <w:t xml:space="preserve">Die Freiheit, das Programm auszuführen wie man möchte, für jeden Zweck (Freiheit 0).</w:t>
      </w:r>
    </w:p>
    <w:p>
      <w:pPr>
        <w:pStyle w:val="Compact"/>
        <w:numPr>
          <w:ilvl w:val="0"/>
          <w:numId w:val="1002"/>
        </w:numPr>
      </w:pPr>
      <w:r>
        <w:t xml:space="preserve">Die Freiheit, die Funktionsweise des Programms zu untersuchen und eigenen Datenverarbeitungbedürfnissen anzupassen (Freiheit 1). Der Zugang zum Quellcode ist dafür Voraussetzung.</w:t>
      </w:r>
    </w:p>
    <w:p>
      <w:pPr>
        <w:pStyle w:val="Compact"/>
        <w:numPr>
          <w:ilvl w:val="0"/>
          <w:numId w:val="1002"/>
        </w:numPr>
      </w:pPr>
      <w:r>
        <w:t xml:space="preserve">Die Freiheit, das Programm zu redistribuieren und damit Mitmenschen zu helfen (Freiheit 2).</w:t>
      </w:r>
    </w:p>
    <w:p>
      <w:pPr>
        <w:pStyle w:val="Compact"/>
        <w:numPr>
          <w:ilvl w:val="0"/>
          <w:numId w:val="1002"/>
        </w:numPr>
      </w:pPr>
      <w:r>
        <w:t xml:space="preserve">Die Freiheit, das Programm zu verbessern und diese Verbesserungen der Öffentlichkeit freizugeben, damit die gesamte Gesellschaft davon profitiert (Freiheit 3). Der Zugang zum Quellcode ist dafür Voraussetzung.</w:t>
      </w:r>
    </w:p>
    <w:p>
      <w:pPr>
        <w:pStyle w:val="FirstParagraph"/>
      </w:pPr>
      <w:r>
        <w:t xml:space="preserve">Vier wesentliche Freiheiten von Freier Lizenzen</w:t>
      </w:r>
      <w:r>
        <w:t xml:space="preserve"> </w:t>
      </w:r>
      <w:hyperlink r:id="rId22">
        <w:r>
          <w:rPr>
            <w:rStyle w:val="Hyperlink"/>
          </w:rPr>
          <w:t xml:space="preserve">Gnu.org</w:t>
        </w:r>
      </w:hyperlink>
    </w:p>
    <w:bookmarkEnd w:id="23"/>
    <w:bookmarkStart w:id="26" w:name="creative-commons-lizenzen"/>
    <w:p>
      <w:pPr>
        <w:pStyle w:val="Heading2"/>
      </w:pPr>
      <w:r>
        <w:t xml:space="preserve">Creative Commons Lizenzen</w:t>
      </w:r>
    </w:p>
    <w:p>
      <w:pPr>
        <w:pStyle w:val="Compact"/>
        <w:numPr>
          <w:ilvl w:val="0"/>
          <w:numId w:val="1003"/>
        </w:numPr>
      </w:pPr>
      <w:r>
        <w:t xml:space="preserve">CC BY 4.0: credit must be given to the creator.</w:t>
      </w:r>
    </w:p>
    <w:p>
      <w:pPr>
        <w:pStyle w:val="Compact"/>
        <w:numPr>
          <w:ilvl w:val="0"/>
          <w:numId w:val="1003"/>
        </w:numPr>
      </w:pPr>
      <w:r>
        <w:t xml:space="preserve">CC BY-SA 4.0: Adaptations must be shared under the same terms.</w:t>
      </w:r>
    </w:p>
    <w:p>
      <w:pPr>
        <w:pStyle w:val="Compact"/>
        <w:numPr>
          <w:ilvl w:val="0"/>
          <w:numId w:val="1003"/>
        </w:numPr>
      </w:pPr>
      <w:r>
        <w:t xml:space="preserve">CC BY-NC 4.0: Only noncommercial uses of the work are permitted.</w:t>
      </w:r>
    </w:p>
    <w:p>
      <w:pPr>
        <w:pStyle w:val="Compact"/>
        <w:numPr>
          <w:ilvl w:val="0"/>
          <w:numId w:val="1003"/>
        </w:numPr>
      </w:pPr>
      <w:r>
        <w:t xml:space="preserve">CC BY-ND 4.0: No derivatives or adaptations of the work are permitted.</w:t>
      </w:r>
    </w:p>
    <w:p>
      <w:pPr>
        <w:pStyle w:val="FirstParagraph"/>
      </w:pPr>
      <w:r>
        <w:t xml:space="preserve">Rechtsgültig ist der vollständige</w:t>
      </w:r>
      <w:r>
        <w:t xml:space="preserve"> </w:t>
      </w:r>
      <w:hyperlink r:id="rId24">
        <w:r>
          <w:rPr>
            <w:rStyle w:val="Hyperlink"/>
          </w:rPr>
          <w:t xml:space="preserve">Legal Code</w:t>
        </w:r>
      </w:hyperlink>
      <w:r>
        <w:t xml:space="preserve"> </w:t>
      </w:r>
      <w:r>
        <w:t xml:space="preserve">auf</w:t>
      </w:r>
      <w:r>
        <w:t xml:space="preserve"> </w:t>
      </w:r>
      <w:hyperlink r:id="rId25">
        <w:r>
          <w:rPr>
            <w:rStyle w:val="Hyperlink"/>
          </w:rPr>
          <w:t xml:space="preserve">creativecommons.org</w:t>
        </w:r>
      </w:hyperlink>
    </w:p>
    <w:bookmarkEnd w:id="26"/>
    <w:bookmarkEnd w:id="27"/>
    <w:bookmarkStart w:id="41" w:name="datenschutz"/>
    <w:p>
      <w:pPr>
        <w:pStyle w:val="Heading1"/>
      </w:pPr>
      <w:r>
        <w:t xml:space="preserve">Datenschutz</w:t>
      </w:r>
    </w:p>
    <w:bookmarkStart w:id="33" w:name="traumreise"/>
    <w:p>
      <w:pPr>
        <w:pStyle w:val="Heading2"/>
      </w:pPr>
      <w:r>
        <w:t xml:space="preserve">Traumreise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fig-rest"/>
          <w:p>
            <w:pPr>
              <w:pStyle w:val="Compact"/>
              <w:jc w:val="center"/>
            </w:pPr>
            <w:r>
              <w:drawing>
                <wp:inline>
                  <wp:extent cx="5334000" cy="8006003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MI_unterrichten/restaurant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8006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Restaurantbesuch ohne Lebensmittelgesetz (</w:t>
            </w:r>
            <w:hyperlink r:id="rId31">
              <w:r>
                <w:rPr>
                  <w:rStyle w:val="Hyperlink"/>
                </w:rPr>
                <w:t xml:space="preserve">LMG</w:t>
              </w:r>
            </w:hyperlink>
            <w:r>
              <w:t xml:space="preserve">)</w:t>
            </w:r>
          </w:p>
          <w:bookmarkEnd w:id="32"/>
        </w:tc>
      </w:tr>
    </w:tbl>
    <w:bookmarkEnd w:id="33"/>
    <w:bookmarkStart w:id="34" w:name="fazit"/>
    <w:p>
      <w:pPr>
        <w:pStyle w:val="Heading2"/>
      </w:pPr>
      <w:r>
        <w:t xml:space="preserve">Fazit</w:t>
      </w:r>
    </w:p>
    <w:p>
      <w:pPr>
        <w:pStyle w:val="FirstParagraph"/>
      </w:pPr>
      <w:r>
        <w:t xml:space="preserve">Mangelnde Lebensmittelhygiene macht Leute krank!</w:t>
      </w:r>
    </w:p>
    <w:p>
      <w:pPr>
        <w:pStyle w:val="BodyText"/>
      </w:pPr>
      <w:r>
        <w:t xml:space="preserve">. . .</w:t>
      </w:r>
    </w:p>
    <w:p>
      <w:pPr>
        <w:pStyle w:val="BodyText"/>
      </w:pPr>
      <w:r>
        <w:t xml:space="preserve">Mangelnde Datenhygiene …</w:t>
      </w:r>
    </w:p>
    <w:bookmarkEnd w:id="34"/>
    <w:bookmarkStart w:id="35" w:name="unterteilung"/>
    <w:p>
      <w:pPr>
        <w:pStyle w:val="Heading2"/>
      </w:pPr>
      <w:r>
        <w:t xml:space="preserve">Unterteilung</w:t>
      </w:r>
    </w:p>
    <w:p>
      <w:pPr>
        <w:pStyle w:val="FirstParagraph"/>
      </w:pPr>
      <w:r>
        <w:rPr>
          <w:b/>
          <w:bCs/>
        </w:rPr>
        <w:t xml:space="preserve">Datenschutz</w:t>
      </w:r>
      <w:r>
        <w:t xml:space="preserve">(recht) schützt Personen vor Unternehmen und Behörden.</w:t>
      </w:r>
    </w:p>
    <w:p>
      <w:pPr>
        <w:pStyle w:val="BodyText"/>
      </w:pPr>
      <w:r>
        <w:rPr>
          <w:b/>
          <w:bCs/>
        </w:rPr>
        <w:t xml:space="preserve">Datensicherheit</w:t>
      </w:r>
      <w:r>
        <w:t xml:space="preserve"> </w:t>
      </w:r>
      <w:r>
        <w:t xml:space="preserve">schützt Unternehmen vor Personen.</w:t>
      </w:r>
    </w:p>
    <w:bookmarkEnd w:id="35"/>
    <w:bookmarkStart w:id="40" w:name="datenschutzgesetze-schweiz"/>
    <w:p>
      <w:pPr>
        <w:pStyle w:val="Heading2"/>
      </w:pPr>
      <w:r>
        <w:t xml:space="preserve">Datenschutzgesetze (Schweiz)</w:t>
      </w:r>
    </w:p>
    <w:bookmarkStart w:id="37" w:name="kantonal"/>
    <w:p>
      <w:pPr>
        <w:pStyle w:val="Heading3"/>
      </w:pPr>
      <w:r>
        <w:t xml:space="preserve">Kantonal</w:t>
      </w:r>
    </w:p>
    <w:p>
      <w:pPr>
        <w:pStyle w:val="FirstParagraph"/>
      </w:pPr>
      <w:hyperlink r:id="rId36">
        <w:r>
          <w:rPr>
            <w:rStyle w:val="Hyperlink"/>
          </w:rPr>
          <w:t xml:space="preserve">Art.1 KDSG</w:t>
        </w:r>
      </w:hyperlink>
      <w:r>
        <w:t xml:space="preserve">: Dieses Gesetz dient dem Schutz von Personen vor missbräuchlicher Datenbearbeitung</w:t>
      </w:r>
      <w:r>
        <w:t xml:space="preserve"> </w:t>
      </w:r>
      <w:r>
        <w:rPr>
          <w:b/>
          <w:bCs/>
        </w:rPr>
        <w:t xml:space="preserve">durch Behörden.</w:t>
      </w:r>
    </w:p>
    <w:bookmarkEnd w:id="37"/>
    <w:bookmarkStart w:id="39" w:name="eidgenössisch"/>
    <w:p>
      <w:pPr>
        <w:pStyle w:val="Heading3"/>
      </w:pPr>
      <w:r>
        <w:t xml:space="preserve">Eidgenössisch</w:t>
      </w:r>
    </w:p>
    <w:p>
      <w:pPr>
        <w:pStyle w:val="FirstParagraph"/>
      </w:pPr>
      <w:hyperlink r:id="rId38">
        <w:r>
          <w:rPr>
            <w:rStyle w:val="Hyperlink"/>
          </w:rPr>
          <w:t xml:space="preserve">Art.2 Abs. 1 DSG</w:t>
        </w:r>
      </w:hyperlink>
      <w:r>
        <w:t xml:space="preserve">: Dieses Gesetz gilt für die Bearbeitung von Personendaten natürlicher Personen durch: a. private Personen; b. Bundesorgane.</w:t>
      </w:r>
    </w:p>
    <w:bookmarkEnd w:id="39"/>
    <w:bookmarkEnd w:id="40"/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25" Target="https://creativecommons.org" TargetMode="External" /><Relationship Type="http://schemas.openxmlformats.org/officeDocument/2006/relationships/hyperlink" Id="rId24" Target="https://creativecommons.org/licenses/by/4.0/legalcode.en" TargetMode="External" /><Relationship Type="http://schemas.openxmlformats.org/officeDocument/2006/relationships/hyperlink" Id="rId36" Target="https://www.belex.sites.be.ch/app/de/texts_of_law/152.04" TargetMode="External" /><Relationship Type="http://schemas.openxmlformats.org/officeDocument/2006/relationships/hyperlink" Id="rId20" Target="https://www.fedlex.admin.ch/eli/cc/1993/1798_1798_1798/de" TargetMode="External" /><Relationship Type="http://schemas.openxmlformats.org/officeDocument/2006/relationships/hyperlink" Id="rId31" Target="https://www.fedlex.admin.ch/eli/cc/2017/62/de" TargetMode="External" /><Relationship Type="http://schemas.openxmlformats.org/officeDocument/2006/relationships/hyperlink" Id="rId38" Target="https://www.fedlex.admin.ch/eli/cc/2022/491/de" TargetMode="External" /><Relationship Type="http://schemas.openxmlformats.org/officeDocument/2006/relationships/hyperlink" Id="rId22" Target="https://www.gnu.org/philosophy/free-sw.en.html#four-freedo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reativecommons.org" TargetMode="External" /><Relationship Type="http://schemas.openxmlformats.org/officeDocument/2006/relationships/hyperlink" Id="rId24" Target="https://creativecommons.org/licenses/by/4.0/legalcode.en" TargetMode="External" /><Relationship Type="http://schemas.openxmlformats.org/officeDocument/2006/relationships/hyperlink" Id="rId36" Target="https://www.belex.sites.be.ch/app/de/texts_of_law/152.04" TargetMode="External" /><Relationship Type="http://schemas.openxmlformats.org/officeDocument/2006/relationships/hyperlink" Id="rId20" Target="https://www.fedlex.admin.ch/eli/cc/1993/1798_1798_1798/de" TargetMode="External" /><Relationship Type="http://schemas.openxmlformats.org/officeDocument/2006/relationships/hyperlink" Id="rId31" Target="https://www.fedlex.admin.ch/eli/cc/2017/62/de" TargetMode="External" /><Relationship Type="http://schemas.openxmlformats.org/officeDocument/2006/relationships/hyperlink" Id="rId38" Target="https://www.fedlex.admin.ch/eli/cc/2022/491/de" TargetMode="External" /><Relationship Type="http://schemas.openxmlformats.org/officeDocument/2006/relationships/hyperlink" Id="rId22" Target="https://www.gnu.org/philosophy/free-sw.en.html#four-freedo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2025-10-08T13:09:07Z</dcterms:created>
  <dcterms:modified xsi:type="dcterms:W3CDTF">2025-10-08T13:09:07Z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2025-10-09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/>
  </property>
  <property fmtid="{D5CDD505-2E9C-101B-9397-08002B2CF9AE}" pid="15" name="subtitle">
    <vt:lpwstr>Datenschutz- und Urheberrecht</vt:lpwstr>
  </property>
  <property fmtid="{D5CDD505-2E9C-101B-9397-08002B2CF9AE}" pid="16" name="toc-title">
    <vt:lpwstr>Table of contents</vt:lpwstr>
  </property>
</Properties>
</file>