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svg" ContentType="image/svg+xml"/>
  <Override PartName="/word/media/rId43.svg" ContentType="image/svg+xml"/>
  <Override PartName="/word/media/rId55.svg" ContentType="image/svg+xml"/>
  <Override PartName="/word/media/rId46.png" ContentType="image/png"/>
  <Override PartName="/word/media/rId52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bookmarkStart w:id="20" w:name="ziele-der-veranstaltung"/>
    <w:p>
      <w:pPr>
        <w:pStyle w:val="Heading2"/>
      </w:pPr>
      <w:r>
        <w:t xml:space="preserve">Ziele der Veranstaltung</w:t>
      </w:r>
    </w:p>
    <w:p>
      <w:pPr>
        <w:pStyle w:val="Compact"/>
        <w:numPr>
          <w:ilvl w:val="0"/>
          <w:numId w:val="1001"/>
        </w:numPr>
      </w:pPr>
      <w:r>
        <w:t xml:space="preserve">Reflexion der eigenen Praxis im digitalen Austausch mit Anspruchsgruppen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Einblick in Tools und Praktiken im Kanton Bern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Einordnung in rechtliche und technische Rahmenbedingungen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Bearbeitung von Fallbeispielen aus dem Schulalltag</w:t>
      </w:r>
    </w:p>
    <w:bookmarkEnd w:id="20"/>
    <w:bookmarkStart w:id="26" w:name="anspruchsgruppen-der-schule"/>
    <w:p>
      <w:pPr>
        <w:pStyle w:val="Heading1"/>
      </w:pPr>
      <w:r>
        <w:t xml:space="preserve">Anspruchsgruppen der Schule</w:t>
      </w:r>
    </w:p>
    <w:bookmarkStart w:id="21" w:name="wer-gehört-dazu"/>
    <w:p>
      <w:pPr>
        <w:pStyle w:val="Heading2"/>
      </w:pPr>
      <w:r>
        <w:t xml:space="preserve">Wer gehört dazu?</w:t>
      </w:r>
    </w:p>
    <w:p>
      <w:pPr>
        <w:pStyle w:val="Compact"/>
        <w:numPr>
          <w:ilvl w:val="0"/>
          <w:numId w:val="1002"/>
        </w:numPr>
      </w:pPr>
      <w:r>
        <w:t xml:space="preserve">Schulleitung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Lehrerkollegium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Eltern und Erziehungsberechtigte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Schulkommission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Externe Fachstellen (z. B. Sozialdienste, Logopädie, Schulpsychologischer Dienst)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Bildungsverwaltung / Behörden</w:t>
      </w:r>
    </w:p>
    <w:bookmarkEnd w:id="21"/>
    <w:bookmarkStart w:id="23" w:name="zusammenarbeit-laut-gesetzgebung"/>
    <w:p>
      <w:pPr>
        <w:pStyle w:val="Heading2"/>
      </w:pPr>
      <w:r>
        <w:t xml:space="preserve">Zusammenarbeit laut Gesetzgebung</w:t>
      </w:r>
    </w:p>
    <w:p>
      <w:pPr>
        <w:pStyle w:val="BlockText"/>
      </w:pPr>
      <w:r>
        <w:t xml:space="preserve">Schulkommission, Schulleitung, Lehrerschaft und Eltern sind gegenseitig zur Zusammenarbeit verpflichtet.</w:t>
      </w:r>
    </w:p>
    <w:p>
      <w:pPr>
        <w:pStyle w:val="BlockText"/>
      </w:pPr>
      <w:hyperlink r:id="rId22">
        <w:r>
          <w:rPr>
            <w:rStyle w:val="Hyperlink"/>
          </w:rPr>
          <w:t xml:space="preserve">Art. 31 Abs. 2 Volksschulgesetz, BE</w:t>
        </w:r>
      </w:hyperlink>
    </w:p>
    <w:p>
      <w:pPr>
        <w:pStyle w:val="FirstParagraph"/>
      </w:pPr>
      <w:r>
        <w:t xml:space="preserve">Die Mitwirkung erfolgt im Rahmen der Zuständigkeiten. Digitale Mittel können zur Erleichterung der Zusammenarbeit beitragen, ersetzen aber keine Haltung.</w:t>
      </w:r>
    </w:p>
    <w:bookmarkEnd w:id="23"/>
    <w:bookmarkStart w:id="24" w:name="reflexion-eigene-erfahrungen"/>
    <w:p>
      <w:pPr>
        <w:pStyle w:val="Heading2"/>
      </w:pPr>
      <w:r>
        <w:t xml:space="preserve">Reflexion: Eigene Erfahrungen</w:t>
      </w:r>
    </w:p>
    <w:p>
      <w:pPr>
        <w:pStyle w:val="FirstParagraph"/>
      </w:pPr>
      <w:r>
        <w:t xml:space="preserve">Kurze Einzelarbeit:</w:t>
      </w:r>
      <w:r>
        <w:br/>
      </w:r>
      <w:r>
        <w:t xml:space="preserve">Beantworten Sie schriftlich folgende Fragen:</w:t>
      </w:r>
    </w:p>
    <w:p>
      <w:pPr>
        <w:pStyle w:val="Compact"/>
        <w:numPr>
          <w:ilvl w:val="0"/>
          <w:numId w:val="1003"/>
        </w:numPr>
      </w:pPr>
      <w:r>
        <w:t xml:space="preserve">Mit welchen Anspruchsgruppen standen Sie bereits digital in Kontakt?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Welche Tools kamen zum Einsatz?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Was hat gut funktioniert, was war herausfordernd?</w:t>
      </w:r>
    </w:p>
    <w:bookmarkEnd w:id="24"/>
    <w:bookmarkStart w:id="25" w:name="austausch-im-plenum"/>
    <w:p>
      <w:pPr>
        <w:pStyle w:val="Heading2"/>
      </w:pPr>
      <w:r>
        <w:t xml:space="preserve">Austausch im Plenum</w:t>
      </w:r>
    </w:p>
    <w:p>
      <w:pPr>
        <w:pStyle w:val="FirstParagraph"/>
      </w:pPr>
      <w:r>
        <w:t xml:space="preserve">Leitfragen zur Diskussion:</w:t>
      </w:r>
    </w:p>
    <w:p>
      <w:pPr>
        <w:pStyle w:val="Compact"/>
        <w:numPr>
          <w:ilvl w:val="0"/>
          <w:numId w:val="1004"/>
        </w:numPr>
      </w:pPr>
      <w:r>
        <w:t xml:space="preserve">Welche Kommunikationswege haben sich bewährt?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Wie unterscheiden sich Erwartungen und Realität bei Eltern, Schulleitung, Kollegium?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Wo besteht Handlungsbedarf?</w:t>
      </w:r>
    </w:p>
    <w:bookmarkEnd w:id="25"/>
    <w:bookmarkEnd w:id="26"/>
    <w:bookmarkStart w:id="29" w:name="digitale-tools-in-der-praxis"/>
    <w:p>
      <w:pPr>
        <w:pStyle w:val="Heading1"/>
      </w:pPr>
      <w:r>
        <w:t xml:space="preserve">Digitale Tools in der Praxis</w:t>
      </w:r>
    </w:p>
    <w:bookmarkStart w:id="27" w:name="überblick-im-kanton-bern-verbreitet"/>
    <w:p>
      <w:pPr>
        <w:pStyle w:val="Heading2"/>
      </w:pPr>
      <w:r>
        <w:t xml:space="preserve">Überblick: Im Kanton Bern verbreitet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0"/>
        <w:gridCol w:w="2400"/>
        <w:gridCol w:w="3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Zielgruppe</w:t>
            </w:r>
          </w:p>
        </w:tc>
        <w:tc>
          <w:tcPr/>
          <w:p>
            <w:pPr>
              <w:pStyle w:val="Compact"/>
            </w:pPr>
            <w:r>
              <w:t xml:space="preserve">Zweck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Klapp</w:t>
            </w:r>
          </w:p>
        </w:tc>
        <w:tc>
          <w:tcPr/>
          <w:p>
            <w:pPr>
              <w:pStyle w:val="Compact"/>
            </w:pPr>
            <w:r>
              <w:t xml:space="preserve">Eltern</w:t>
            </w:r>
          </w:p>
        </w:tc>
        <w:tc>
          <w:tcPr/>
          <w:p>
            <w:pPr>
              <w:pStyle w:val="Compact"/>
            </w:pPr>
            <w:r>
              <w:t xml:space="preserve">Push-Kommunikation, Rückmeldungen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Lehreroffice</w:t>
            </w:r>
          </w:p>
        </w:tc>
        <w:tc>
          <w:tcPr/>
          <w:p>
            <w:pPr>
              <w:pStyle w:val="Compact"/>
            </w:pPr>
            <w:r>
              <w:t xml:space="preserve">Schulleitung, LP</w:t>
            </w:r>
          </w:p>
        </w:tc>
        <w:tc>
          <w:tcPr/>
          <w:p>
            <w:pPr>
              <w:pStyle w:val="Compact"/>
            </w:pPr>
            <w:r>
              <w:t xml:space="preserve">Verwaltung, Schülerdaten, Zeugnisse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Teams/SharePoint</w:t>
            </w:r>
          </w:p>
        </w:tc>
        <w:tc>
          <w:tcPr/>
          <w:p>
            <w:pPr>
              <w:pStyle w:val="Compact"/>
            </w:pPr>
            <w:r>
              <w:t xml:space="preserve">Kollegium</w:t>
            </w:r>
          </w:p>
        </w:tc>
        <w:tc>
          <w:tcPr/>
          <w:p>
            <w:pPr>
              <w:pStyle w:val="Compact"/>
            </w:pPr>
            <w:r>
              <w:t xml:space="preserve">Kollaboration, Dateiablage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E-Mail</w:t>
            </w:r>
          </w:p>
        </w:tc>
        <w:tc>
          <w:tcPr/>
          <w:p>
            <w:pPr>
              <w:pStyle w:val="Compact"/>
            </w:pPr>
            <w:r>
              <w:t xml:space="preserve">Alle Gruppen</w:t>
            </w:r>
          </w:p>
        </w:tc>
        <w:tc>
          <w:tcPr/>
          <w:p>
            <w:pPr>
              <w:pStyle w:val="Compact"/>
            </w:pPr>
            <w:r>
              <w:t xml:space="preserve">Formelle schriftliche Kommunikation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Private Tools (WhatsApp, Signal)</w:t>
            </w:r>
          </w:p>
        </w:tc>
        <w:tc>
          <w:tcPr/>
          <w:p>
            <w:pPr>
              <w:pStyle w:val="Compact"/>
            </w:pPr>
            <w:r>
              <w:t xml:space="preserve">inoffiziell</w:t>
            </w:r>
          </w:p>
        </w:tc>
        <w:tc>
          <w:tcPr/>
          <w:p>
            <w:pPr>
              <w:pStyle w:val="Compact"/>
            </w:pPr>
            <w:r>
              <w:t xml:space="preserve">Kurzinformationen, informelle Koordination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28" w:name="analyse-von-tools"/>
    <w:p>
      <w:pPr>
        <w:pStyle w:val="Heading2"/>
      </w:pPr>
      <w:r>
        <w:t xml:space="preserve">Analyse von Tools</w:t>
      </w:r>
    </w:p>
    <w:p>
      <w:pPr>
        <w:pStyle w:val="FirstParagraph"/>
      </w:pPr>
      <w:r>
        <w:t xml:space="preserve">Partnerarbeit:</w:t>
      </w:r>
    </w:p>
    <w:p>
      <w:pPr>
        <w:pStyle w:val="BodyText"/>
      </w:pPr>
      <w:r>
        <w:t xml:space="preserve">Wählen Sie ein Tool aus und beurteilen Sie es anhand folgender Kriterien:</w:t>
      </w:r>
    </w:p>
    <w:p>
      <w:pPr>
        <w:pStyle w:val="Compact"/>
        <w:numPr>
          <w:ilvl w:val="0"/>
          <w:numId w:val="1005"/>
        </w:numPr>
      </w:pPr>
      <w:r>
        <w:t xml:space="preserve">Funktionalität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Zielgruppengerechte Kommunikation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Datenschutz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Integration in den Schulalltag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Akzeptanz bei den Beteiligten</w:t>
      </w:r>
    </w:p>
    <w:p>
      <w:pPr>
        <w:pStyle w:val="FirstParagraph"/>
      </w:pPr>
      <w:r>
        <w:t xml:space="preserve">Ergebnisse: je Gruppe 1 kurze Präsentation (2 Minuten)</w:t>
      </w:r>
    </w:p>
    <w:bookmarkEnd w:id="28"/>
    <w:bookmarkEnd w:id="29"/>
    <w:bookmarkStart w:id="32" w:name="kommunikationsformen-und--formate"/>
    <w:p>
      <w:pPr>
        <w:pStyle w:val="Heading1"/>
      </w:pPr>
      <w:r>
        <w:t xml:space="preserve">Kommunikationsformen und -formate</w:t>
      </w:r>
    </w:p>
    <w:bookmarkStart w:id="30" w:name="mündlich-schriftlich-synchron-asynchron"/>
    <w:p>
      <w:pPr>
        <w:pStyle w:val="Heading2"/>
      </w:pPr>
      <w:r>
        <w:t xml:space="preserve">Mündlich, schriftlich, synchron, asynchron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0"/>
        <w:gridCol w:w="1628"/>
        <w:gridCol w:w="2516"/>
        <w:gridCol w:w="229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Kommunikationsform</w:t>
            </w:r>
          </w:p>
        </w:tc>
        <w:tc>
          <w:tcPr/>
          <w:p>
            <w:pPr>
              <w:pStyle w:val="Compact"/>
            </w:pPr>
            <w:r>
              <w:t xml:space="preserve">Beispiele</w:t>
            </w:r>
          </w:p>
        </w:tc>
        <w:tc>
          <w:tcPr/>
          <w:p>
            <w:pPr>
              <w:pStyle w:val="Compact"/>
            </w:pPr>
            <w:r>
              <w:t xml:space="preserve">Vorteile</w:t>
            </w:r>
          </w:p>
        </w:tc>
        <w:tc>
          <w:tcPr/>
          <w:p>
            <w:pPr>
              <w:pStyle w:val="Compact"/>
            </w:pPr>
            <w:r>
              <w:t xml:space="preserve">Risiken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Mündlich (synchron)</w:t>
            </w:r>
          </w:p>
        </w:tc>
        <w:tc>
          <w:tcPr/>
          <w:p>
            <w:pPr>
              <w:pStyle w:val="Compact"/>
            </w:pPr>
            <w:r>
              <w:t xml:space="preserve">Telefongespräch, Videokonferenz</w:t>
            </w:r>
          </w:p>
        </w:tc>
        <w:tc>
          <w:tcPr/>
          <w:p>
            <w:pPr>
              <w:pStyle w:val="Compact"/>
            </w:pPr>
            <w:r>
              <w:t xml:space="preserve">direkt, dialogisch</w:t>
            </w:r>
          </w:p>
        </w:tc>
        <w:tc>
          <w:tcPr/>
          <w:p>
            <w:pPr>
              <w:pStyle w:val="Compact"/>
            </w:pPr>
            <w:r>
              <w:t xml:space="preserve">wenig dokumentiert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Schriftlich (asynchron)</w:t>
            </w:r>
          </w:p>
        </w:tc>
        <w:tc>
          <w:tcPr/>
          <w:p>
            <w:pPr>
              <w:pStyle w:val="Compact"/>
            </w:pPr>
            <w:r>
              <w:t xml:space="preserve">Mail, Klapp, Teams-Kommentar</w:t>
            </w:r>
          </w:p>
        </w:tc>
        <w:tc>
          <w:tcPr/>
          <w:p>
            <w:pPr>
              <w:pStyle w:val="Compact"/>
            </w:pPr>
            <w:r>
              <w:t xml:space="preserve">nachvollziehbar, dokumentiert</w:t>
            </w:r>
          </w:p>
        </w:tc>
        <w:tc>
          <w:tcPr/>
          <w:p>
            <w:pPr>
              <w:pStyle w:val="Compact"/>
            </w:pPr>
            <w:r>
              <w:t xml:space="preserve">Missverständnisse, Verzögerung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Hybrid</w:t>
            </w:r>
          </w:p>
        </w:tc>
        <w:tc>
          <w:tcPr/>
          <w:p>
            <w:pPr>
              <w:pStyle w:val="Compact"/>
            </w:pPr>
            <w:r>
              <w:t xml:space="preserve">Online-Sitzung mit Protokoll</w:t>
            </w:r>
          </w:p>
        </w:tc>
        <w:tc>
          <w:tcPr/>
          <w:p>
            <w:pPr>
              <w:pStyle w:val="Compact"/>
            </w:pPr>
            <w:r>
              <w:t xml:space="preserve">verbindlich, effizient</w:t>
            </w:r>
          </w:p>
        </w:tc>
        <w:tc>
          <w:tcPr/>
          <w:p>
            <w:pPr>
              <w:pStyle w:val="Compact"/>
            </w:pPr>
            <w:r>
              <w:t xml:space="preserve">hoher Koordinationsbedarf</w:t>
            </w:r>
          </w:p>
        </w:tc>
      </w:tr>
    </w:tbl>
    <w:bookmarkEnd w:id="30"/>
    <w:bookmarkStart w:id="31" w:name="X01ccee112ee2d48be678ff47dab9f2cf38fbaf3"/>
    <w:p>
      <w:pPr>
        <w:pStyle w:val="Heading2"/>
      </w:pPr>
      <w:r>
        <w:t xml:space="preserve">Abgrenzung: Informations- vs. Dialogformate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Information:</w:t>
      </w:r>
      <w:r>
        <w:t xml:space="preserve"> </w:t>
      </w:r>
      <w:r>
        <w:t xml:space="preserve">einseitige Mitteilung</w:t>
      </w:r>
    </w:p>
    <w:p>
      <w:pPr>
        <w:pStyle w:val="Compact"/>
        <w:numPr>
          <w:ilvl w:val="1"/>
          <w:numId w:val="1007"/>
        </w:numPr>
      </w:pPr>
      <w:r>
        <w:t xml:space="preserve">z. B. Elternbrief, Push-Mitteilung via Klapp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Dialog:</w:t>
      </w:r>
      <w:r>
        <w:t xml:space="preserve"> </w:t>
      </w:r>
      <w:r>
        <w:t xml:space="preserve">bidirektionale Kommunikation</w:t>
      </w:r>
    </w:p>
    <w:p>
      <w:pPr>
        <w:pStyle w:val="Compact"/>
        <w:numPr>
          <w:ilvl w:val="1"/>
          <w:numId w:val="1008"/>
        </w:numPr>
      </w:pPr>
      <w:r>
        <w:t xml:space="preserve">z. B. Rückmeldegespräch, Konfliktklärung per Videocall</w:t>
      </w:r>
    </w:p>
    <w:p>
      <w:pPr>
        <w:pStyle w:val="FirstParagraph"/>
      </w:pPr>
      <w:r>
        <w:t xml:space="preserve">Diskussion:</w:t>
      </w:r>
      <w:r>
        <w:br/>
      </w:r>
      <w:r>
        <w:t xml:space="preserve">Welche Formate sind wofür angemessen?</w:t>
      </w:r>
    </w:p>
    <w:bookmarkEnd w:id="31"/>
    <w:bookmarkEnd w:id="32"/>
    <w:bookmarkStart w:id="36" w:name="rechtliche-grundlagen"/>
    <w:p>
      <w:pPr>
        <w:pStyle w:val="Heading1"/>
      </w:pPr>
      <w:r>
        <w:t xml:space="preserve">4. Rechtliche Grundlagen</w:t>
      </w:r>
    </w:p>
    <w:bookmarkStart w:id="34" w:name="Xedcae5d8ffec8cf8f9a021046b9126414762877"/>
    <w:p>
      <w:pPr>
        <w:pStyle w:val="Heading2"/>
      </w:pPr>
      <w:r>
        <w:t xml:space="preserve">Datenschutzrechtliche Anforderungen (Kanton Bern)</w:t>
      </w:r>
    </w:p>
    <w:p>
      <w:pPr>
        <w:pStyle w:val="Compact"/>
        <w:numPr>
          <w:ilvl w:val="0"/>
          <w:numId w:val="1009"/>
        </w:numPr>
      </w:pPr>
      <w:r>
        <w:t xml:space="preserve">Personendaten dürfen nur mit gesetzlicher Grundlage bearbeitet werden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Gesundheitsdaten gelten als besonders schützenswert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Die Schule ist verantwortlich für den Schutz der Daten</w:t>
      </w:r>
    </w:p>
    <w:p>
      <w:pPr>
        <w:pStyle w:val="FirstParagraph"/>
      </w:pPr>
      <w:hyperlink r:id="rId33">
        <w:r>
          <w:rPr>
            <w:rStyle w:val="Hyperlink"/>
          </w:rPr>
          <w:t xml:space="preserve">BSG 152.04 - Datenschutzgesetz (KDSG)</w:t>
        </w:r>
      </w:hyperlink>
    </w:p>
    <w:p>
      <w:pPr>
        <w:pStyle w:val="BodyText"/>
      </w:pPr>
      <w:r>
        <w:t xml:space="preserve">. . .</w:t>
      </w:r>
    </w:p>
    <w:p>
      <w:pPr>
        <w:pStyle w:val="BlockText"/>
      </w:pPr>
      <w:r>
        <w:t xml:space="preserve">Wer Personendaten bearbeitet, sorgt für ihre Sicherung.</w:t>
      </w:r>
    </w:p>
    <w:p>
      <w:pPr>
        <w:pStyle w:val="BlockText"/>
      </w:pPr>
      <w:hyperlink r:id="rId33">
        <w:r>
          <w:rPr>
            <w:rStyle w:val="Hyperlink"/>
          </w:rPr>
          <w:t xml:space="preserve">Art. 17 Abs. 1 KDSG</w:t>
        </w:r>
      </w:hyperlink>
    </w:p>
    <w:bookmarkEnd w:id="34"/>
    <w:bookmarkStart w:id="35" w:name="sichere-kommunikation-was-heisst-das"/>
    <w:p>
      <w:pPr>
        <w:pStyle w:val="Heading2"/>
      </w:pPr>
      <w:r>
        <w:t xml:space="preserve">Sichere Kommunikation – was heisst das?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51"/>
        <w:gridCol w:w="2872"/>
        <w:gridCol w:w="27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Begriff</w:t>
            </w:r>
          </w:p>
        </w:tc>
        <w:tc>
          <w:tcPr/>
          <w:p>
            <w:pPr>
              <w:pStyle w:val="Compact"/>
            </w:pPr>
            <w:r>
              <w:t xml:space="preserve">Bedeutung</w:t>
            </w:r>
          </w:p>
        </w:tc>
        <w:tc>
          <w:tcPr/>
          <w:p>
            <w:pPr>
              <w:pStyle w:val="Compact"/>
            </w:pPr>
            <w:r>
              <w:t xml:space="preserve">Relevanz im Schulkontext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Transportverschlüsselung</w:t>
            </w:r>
          </w:p>
        </w:tc>
        <w:tc>
          <w:tcPr/>
          <w:p>
            <w:pPr>
              <w:pStyle w:val="Compact"/>
            </w:pPr>
            <w:r>
              <w:t xml:space="preserve">Verbindung zwischen Servern verschlüsselt</w:t>
            </w:r>
          </w:p>
        </w:tc>
        <w:tc>
          <w:tcPr/>
          <w:p>
            <w:pPr>
              <w:pStyle w:val="Compact"/>
            </w:pPr>
            <w:r>
              <w:t xml:space="preserve">Standard bei https, Mails mit TLS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Ende-zu-Ende-Verschlüsselung (E2EE)</w:t>
            </w:r>
          </w:p>
        </w:tc>
        <w:tc>
          <w:tcPr/>
          <w:p>
            <w:pPr>
              <w:pStyle w:val="Compact"/>
            </w:pPr>
            <w:r>
              <w:t xml:space="preserve">Nur Sender und Empfänger können lesen</w:t>
            </w:r>
          </w:p>
        </w:tc>
        <w:tc>
          <w:tcPr/>
          <w:p>
            <w:pPr>
              <w:pStyle w:val="Compact"/>
            </w:pPr>
            <w:r>
              <w:t xml:space="preserve">Signal, Klapp (bedingt)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Zwei-Faktor-Authentifizierung (2FA)</w:t>
            </w:r>
          </w:p>
        </w:tc>
        <w:tc>
          <w:tcPr/>
          <w:p>
            <w:pPr>
              <w:pStyle w:val="Compact"/>
            </w:pPr>
            <w:r>
              <w:t xml:space="preserve">Zwei Schritte beim Login</w:t>
            </w:r>
          </w:p>
        </w:tc>
        <w:tc>
          <w:tcPr/>
          <w:p>
            <w:pPr>
              <w:pStyle w:val="Compact"/>
            </w:pPr>
            <w:r>
              <w:t xml:space="preserve">MS-Konto, Schulplattformen</w:t>
            </w:r>
          </w:p>
        </w:tc>
      </w:tr>
    </w:tbl>
    <w:bookmarkEnd w:id="35"/>
    <w:bookmarkEnd w:id="36"/>
    <w:bookmarkStart w:id="39" w:name="fallbeispiele"/>
    <w:p>
      <w:pPr>
        <w:pStyle w:val="Heading1"/>
      </w:pPr>
      <w:r>
        <w:t xml:space="preserve">Fallbeispiele</w:t>
      </w:r>
    </w:p>
    <w:bookmarkStart w:id="37" w:name="fall-1-elterninformation"/>
    <w:p>
      <w:pPr>
        <w:pStyle w:val="Heading2"/>
      </w:pPr>
      <w:r>
        <w:t xml:space="preserve">Fall 1: Elterninformation</w:t>
      </w:r>
    </w:p>
    <w:p>
      <w:pPr>
        <w:pStyle w:val="FirstParagraph"/>
      </w:pPr>
      <w:r>
        <w:t xml:space="preserve">Eine Lehrperson informiert Eltern per Mail über die Leistungen eines Kindes.</w:t>
      </w:r>
    </w:p>
    <w:p>
      <w:pPr>
        <w:pStyle w:val="BodyText"/>
      </w:pPr>
      <w:r>
        <w:t xml:space="preserve">Fragen zur Bearbeitung:</w:t>
      </w:r>
    </w:p>
    <w:p>
      <w:pPr>
        <w:pStyle w:val="Compact"/>
        <w:numPr>
          <w:ilvl w:val="0"/>
          <w:numId w:val="1010"/>
        </w:numPr>
      </w:pPr>
      <w:r>
        <w:t xml:space="preserve">Ist das rechtlich zulässig?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Welche Alternativen gibt es?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könnte man die Nachricht differenzierter und sicherer gestalten?</w:t>
      </w:r>
    </w:p>
    <w:p>
      <w:pPr>
        <w:pStyle w:val="FirstParagraph"/>
      </w:pPr>
      <w:r>
        <w:t xml:space="preserve">Bearbeitung in Kleingruppen, anschliessend Austausch</w:t>
      </w:r>
    </w:p>
    <w:p>
      <w:r>
        <w:pict>
          <v:rect style="width:0;height:1.5pt" o:hralign="center" o:hrstd="t" o:hr="t"/>
        </w:pict>
      </w:r>
    </w:p>
    <w:bookmarkEnd w:id="37"/>
    <w:bookmarkStart w:id="38" w:name="fall-2-konflikt-im-kollegium"/>
    <w:p>
      <w:pPr>
        <w:pStyle w:val="Heading2"/>
      </w:pPr>
      <w:r>
        <w:t xml:space="preserve">Fall 2: Konflikt im Kollegium</w:t>
      </w:r>
    </w:p>
    <w:p>
      <w:pPr>
        <w:pStyle w:val="FirstParagraph"/>
      </w:pPr>
      <w:r>
        <w:t xml:space="preserve">Eine Lehrperson meldet sich per WhatsApp bei der Schulleitung, um sich über Kollegiumsinterna zu beschweren. Der Verlauf wird an Dritte weitergeleitet.</w:t>
      </w:r>
    </w:p>
    <w:p>
      <w:pPr>
        <w:pStyle w:val="BodyText"/>
      </w:pPr>
      <w:r>
        <w:t xml:space="preserve">Diskussion:</w:t>
      </w:r>
    </w:p>
    <w:p>
      <w:pPr>
        <w:pStyle w:val="Compact"/>
        <w:numPr>
          <w:ilvl w:val="0"/>
          <w:numId w:val="1011"/>
        </w:numPr>
      </w:pPr>
      <w:r>
        <w:t xml:space="preserve">Welche Probleme entstehen hier?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Welche Kommunikationskanäle wären angemessen?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Welche Rolle spielt Vertraulichkeit?</w:t>
      </w:r>
    </w:p>
    <w:bookmarkEnd w:id="38"/>
    <w:bookmarkEnd w:id="39"/>
    <w:bookmarkStart w:id="42" w:name="X9f9ad05bc2d46a25181745f07b5c1c6a6f9f090"/>
    <w:p>
      <w:pPr>
        <w:pStyle w:val="Heading1"/>
      </w:pPr>
      <w:r>
        <w:t xml:space="preserve">Strategien für professionelle Kommunikation</w:t>
      </w:r>
    </w:p>
    <w:bookmarkStart w:id="40" w:name="empfehlungen-aus-der-praxis"/>
    <w:p>
      <w:pPr>
        <w:pStyle w:val="Heading2"/>
      </w:pPr>
      <w:r>
        <w:t xml:space="preserve">Empfehlungen aus der Praxis</w:t>
      </w:r>
    </w:p>
    <w:p>
      <w:pPr>
        <w:pStyle w:val="Compact"/>
        <w:numPr>
          <w:ilvl w:val="0"/>
          <w:numId w:val="1012"/>
        </w:numPr>
      </w:pPr>
      <w:r>
        <w:t xml:space="preserve">Kommunikationswege im Team verbindlich absprechen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Klare Regelungen zur Toolnutzung an der Schule etablieren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Eltern frühzeitig über verwendete Tools und deren Zweck informieren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Keine besonders schützenswerten Daten über unsichere Kanäle übermitteln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Professionelle Sprache auch digital wahren</w:t>
      </w:r>
    </w:p>
    <w:bookmarkEnd w:id="40"/>
    <w:bookmarkStart w:id="41" w:name="leitfragen-zur-selbstverortung"/>
    <w:p>
      <w:pPr>
        <w:pStyle w:val="Heading2"/>
      </w:pPr>
      <w:r>
        <w:t xml:space="preserve">Leitfragen zur Selbstverortung</w:t>
      </w:r>
    </w:p>
    <w:p>
      <w:pPr>
        <w:pStyle w:val="Compact"/>
        <w:numPr>
          <w:ilvl w:val="0"/>
          <w:numId w:val="1013"/>
        </w:numPr>
      </w:pPr>
      <w:r>
        <w:t xml:space="preserve">Wie sicher fühle ich mich im Umgang mit digitalen Tools?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Wie schätze ich meine Kommunikation mit Eltern oder Schulleitung ein?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Welche Kenntnisse fehlen mir noch?</w:t>
      </w:r>
    </w:p>
    <w:bookmarkEnd w:id="41"/>
    <w:bookmarkEnd w:id="42"/>
    <w:bookmarkStart w:id="62" w:name="wissenschaftlichere-sicht"/>
    <w:p>
      <w:pPr>
        <w:pStyle w:val="Heading1"/>
      </w:pPr>
      <w:r>
        <w:t xml:space="preserve">Wissenschaftliche(re) Sicht</w:t>
      </w:r>
    </w:p>
    <w:bookmarkStart w:id="48" w:name="section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1"/>
          <w:p>
            <w:pPr>
              <w:pStyle w:val="Compact"/>
              <w:jc w:val="center"/>
            </w:pPr>
            <w:r>
              <w:drawing>
                <wp:inline>
                  <wp:extent cx="4210050" cy="2847975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Framework_Rosenberg23_CC_NC_ND.sv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284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Framework der Rollen der Schulkommunikation im digitalen Wandel der Schulen,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47"/>
        </w:tc>
      </w:tr>
    </w:tbl>
    <w:bookmarkEnd w:id="48"/>
    <w:bookmarkStart w:id="54" w:name="section-1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3" w:name="fig-pyramid"/>
          <w:p>
            <w:pPr>
              <w:pStyle w:val="Compact"/>
              <w:jc w:val="center"/>
            </w:pPr>
            <w:r>
              <w:drawing>
                <wp:inline>
                  <wp:extent cx="4210050" cy="5057775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9Handlungsdimensionen_Baumgartner23_CC_NC_ND.sv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505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Neun Handlungsdimensionen der Schulkommunikation im digitalen Wandel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53"/>
        </w:tc>
      </w:tr>
    </w:tbl>
    <w:bookmarkEnd w:id="54"/>
    <w:bookmarkStart w:id="60" w:name="section-2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9" w:name="fig-1"/>
          <w:p>
            <w:pPr>
              <w:pStyle w:val="Compact"/>
              <w:jc w:val="center"/>
            </w:pPr>
            <w:r>
              <w:drawing>
                <wp:inline>
                  <wp:extent cx="4181475" cy="3552825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Rosenberger23_CC_NC_ND.sv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3552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Typische Spannungsfelder der Schulkommunikation,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59"/>
        </w:tc>
      </w:tr>
    </w:tbl>
    <w:bookmarkEnd w:id="60"/>
    <w:bookmarkStart w:id="61" w:name="bibliographie"/>
    <w:p>
      <w:pPr>
        <w:pStyle w:val="Heading2"/>
      </w:pPr>
      <w:r>
        <w:t xml:space="preserve">Bibliographie</w:t>
      </w:r>
    </w:p>
    <w:bookmarkEnd w:id="61"/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svg" /><Relationship Type="http://schemas.openxmlformats.org/officeDocument/2006/relationships/image" Id="rId43" Target="media/rId43.svg" /><Relationship Type="http://schemas.openxmlformats.org/officeDocument/2006/relationships/image" Id="rId55" Target="media/rId55.sv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hyperlink" Id="rId33" Target="https://www.belex.sites.be.ch/app/de/texts_of_law/152.04" TargetMode="External" /><Relationship Type="http://schemas.openxmlformats.org/officeDocument/2006/relationships/hyperlink" Id="rId22" Target="https://www.belex.sites.be.ch/app/de/texts_of_law/432.210/art/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www.belex.sites.be.ch/app/de/texts_of_law/152.04" TargetMode="External" /><Relationship Type="http://schemas.openxmlformats.org/officeDocument/2006/relationships/hyperlink" Id="rId22" Target="https://www.belex.sites.be.ch/app/de/texts_of_law/432.210/art/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2025-09-15T10:15:54Z</dcterms:created>
  <dcterms:modified xsi:type="dcterms:W3CDTF">2025-09-15T10:15:54Z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