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Forschungsethik</w:t>
      </w:r>
    </w:p>
    <w:p>
      <w:pPr>
        <w:pStyle w:val="Subtitle"/>
      </w:pPr>
      <w:r>
        <w:t xml:space="preserve">Learning Analytics</w:t>
      </w:r>
    </w:p>
    <w:p>
      <w:pPr>
        <w:pStyle w:val="Author"/>
      </w:pPr>
      <w:r>
        <w:t xml:space="preserve">Richard Conrardy</w:t>
      </w:r>
    </w:p>
    <w:bookmarkStart w:id="20" w:name="rechtliche-rahmenbedingungen"/>
    <w:p>
      <w:pPr>
        <w:pStyle w:val="Heading1"/>
      </w:pPr>
      <w:r>
        <w:t xml:space="preserve">Rechtliche Rahmenbedingungen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Forschungsethik</dc:title>
  <dc:creator>Richard Conrardy</dc:creator>
  <dc:language>de</dc:language>
  <cp:keywords/>
  <dcterms:created xsi:type="dcterms:W3CDTF">2024-12-24T15:08:56Z</dcterms:created>
  <dcterms:modified xsi:type="dcterms:W3CDTF">2024-12-24T15:08:56Z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../../bibliographien/apa7.csl</vt:lpwstr>
  </property>
  <property fmtid="{D5CDD505-2E9C-101B-9397-08002B2CF9AE}" pid="12" name="date-format">
    <vt:lpwstr>DD.MM.YYYY</vt:lpwstr>
  </property>
  <property fmtid="{D5CDD505-2E9C-101B-9397-08002B2CF9AE}" pid="13" name="draft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Learning Analytics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