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Forschungsethik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01.01.2024</w:t>
      </w:r>
    </w:p>
    <w:bookmarkStart w:id="20" w:name="rechtliche-rahmenbedingungen"/>
    <w:p>
      <w:pPr>
        <w:pStyle w:val="Heading1"/>
      </w:pPr>
      <w:r>
        <w:t xml:space="preserve">Rechtliche Rahmenbedingungen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Forschungsethik</dc:title>
  <dc:creator>Richard Conrardy</dc:creator>
  <dc:language>de</dc:language>
  <cp:keywords/>
  <dcterms:created xsi:type="dcterms:W3CDTF">2024-05-28T08:58:56Z</dcterms:created>
  <dcterms:modified xsi:type="dcterms:W3CDTF">2024-05-28T08:58:56Z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../bibliographien/apa7.csl</vt:lpwstr>
  </property>
  <property fmtid="{D5CDD505-2E9C-101B-9397-08002B2CF9AE}" pid="12" name="date">
    <vt:lpwstr>01.01.2024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