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 Einführung</w:t>
      </w:r>
    </w:p>
    <w:p>
      <w:pPr>
        <w:pStyle w:val="Subtitle"/>
      </w:pPr>
      <w:r>
        <w:t xml:space="preserve">Grundlagen der Beurteilung</w:t>
      </w:r>
    </w:p>
    <w:p>
      <w:pPr>
        <w:pStyle w:val="Author"/>
      </w:pPr>
      <w:r>
        <w:t xml:space="preserve">Richard Conrardy</w:t>
      </w:r>
    </w:p>
    <w:p>
      <w:pPr>
        <w:pStyle w:val="AbstractTitle"/>
      </w:pPr>
      <w:r>
        <w:t xml:space="preserve">Zusammenfassung</w:t>
      </w:r>
    </w:p>
    <w:p>
      <w:pPr>
        <w:pStyle w:val="Abstract"/>
      </w:pPr>
      <w:r>
        <w:t xml:space="preserve">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lernen Gefühle und Gedanken bezüglich des Notendrucks von Kindern kennen.</w:t>
            </w:r>
          </w:p>
          <w:p>
            <w:pPr>
              <w:pStyle w:val="Compact"/>
              <w:numPr>
                <w:ilvl w:val="0"/>
                <w:numId w:val="1001"/>
              </w:numPr>
            </w:pPr>
            <w:r>
              <w:t xml:space="preserve">setzen sich mit der Sinnhaftigkeit und Notwendigkeit von Noten bzw. von Beurteilung auseinander.</w:t>
            </w:r>
          </w:p>
          <w:p>
            <w:pPr>
              <w:pStyle w:val="Compact"/>
              <w:numPr>
                <w:ilvl w:val="0"/>
                <w:numId w:val="1001"/>
              </w:numPr>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ayout w:type="fixed"/>
              <w:tblLook w:firstRow="0" w:lastRow="0" w:firstColumn="0" w:lastColumn="0" w:noHBand="0" w:noVBand="0" w:val="0000"/>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pStyle w:val="Compact"/>
              <w:numPr>
                <w:ilvl w:val="0"/>
                <w:numId w:val="1002"/>
              </w:numPr>
            </w:pPr>
            <w:r>
              <w:t xml:space="preserve">Wie sind Sie selber mit Noten in Ihrer Schulzeit umgegangen?</w:t>
            </w:r>
          </w:p>
          <w:p>
            <w:pPr>
              <w:pStyle w:val="Compact"/>
              <w:numPr>
                <w:ilvl w:val="0"/>
                <w:numId w:val="1002"/>
              </w:numPr>
            </w:pPr>
            <w:r>
              <w:t xml:space="preserve">Wie hat ihr Umfeld auf gute/schlechte Noten reagiert?</w:t>
            </w:r>
          </w:p>
          <w:p>
            <w:pPr>
              <w:pStyle w:val="Compact"/>
              <w:numPr>
                <w:ilvl w:val="0"/>
                <w:numId w:val="1002"/>
              </w:numPr>
            </w:pPr>
            <w:r>
              <w:t xml:space="preserve">Was für eine Einstellung gegenüber Noten hatten Lehrpersonen aus Ihrer Vergangenheit?</w:t>
            </w:r>
          </w:p>
          <w:p>
            <w:pPr>
              <w:pStyle w:val="Compact"/>
              <w:numPr>
                <w:ilvl w:val="0"/>
                <w:numId w:val="1002"/>
              </w:numPr>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
          <w:iCs/>
        </w:rPr>
        <w:t xml:space="preserve">Mein</w:t>
      </w:r>
      <w:r>
        <w:rPr>
          <w:i/>
          <w:iCs/>
        </w:rPr>
        <w:t xml:space="preserve"> </w:t>
      </w:r>
      <w:r>
        <w:rPr>
          <w:i/>
          <w:iCs/>
        </w:rPr>
        <w:t xml:space="preserve">Leben</w:t>
      </w:r>
      <w:r>
        <w:rPr>
          <w:i/>
          <w:iCs/>
        </w:rPr>
        <w:t xml:space="preserve"> </w:t>
      </w:r>
      <w:r>
        <w:rPr>
          <w:i/>
          <w:iCs/>
        </w:rPr>
        <w:t xml:space="preserve">und der</w:t>
      </w:r>
      <w:r>
        <w:rPr>
          <w:i/>
          <w:iCs/>
        </w:rPr>
        <w:t xml:space="preserve"> </w:t>
      </w:r>
      <w:r>
        <w:rPr>
          <w:i/>
          <w:iCs/>
        </w:rPr>
        <w:t xml:space="preserve">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2025-03-05T19:14:09Z</dcterms:created>
  <dcterms:modified xsi:type="dcterms:W3CDTF">2025-03-05T19:14:09Z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