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0C0BC" w14:textId="77777777" w:rsidR="0081231D" w:rsidRPr="0081231D" w:rsidRDefault="0081231D" w:rsidP="0081231D">
      <w:r w:rsidRPr="0081231D">
        <w:t>I'll start by reading your friend's document, checking the knowledge base for context, and researching state-of-the-art methods — then I'll present a full overview for your review before any code is written.Good, I've read your friend's document. Now let me research state-of-the-art methods for this task.Now let me check what GPU you have — that's critical for the QLoRA pipeline design.Good — the RTX 4070 Ti Super has 16GB VRAM, which is very workable for QLoRA on a 7B model. Let me now put together the full overview.Here's my full overview, synthesizing your friend's document, my research, and your hardware constraints.</w:t>
      </w:r>
    </w:p>
    <w:p w14:paraId="47FEB5E0" w14:textId="77777777" w:rsidR="0081231D" w:rsidRPr="0081231D" w:rsidRDefault="0081231D" w:rsidP="0081231D">
      <w:r w:rsidRPr="0081231D">
        <w:pict w14:anchorId="40D0EEC3">
          <v:rect id="_x0000_i1079" style="width:0;height:1.5pt" o:hralign="center" o:hrstd="t" o:hr="t" fillcolor="#a0a0a0" stroked="f"/>
        </w:pict>
      </w:r>
    </w:p>
    <w:p w14:paraId="11943A74" w14:textId="77777777" w:rsidR="0081231D" w:rsidRPr="0081231D" w:rsidRDefault="0081231D" w:rsidP="0081231D">
      <w:pPr>
        <w:rPr>
          <w:b/>
          <w:bCs/>
        </w:rPr>
      </w:pPr>
      <w:r w:rsidRPr="0081231D">
        <w:rPr>
          <w:b/>
          <w:bCs/>
        </w:rPr>
        <w:t>The Core Idea</w:t>
      </w:r>
    </w:p>
    <w:p w14:paraId="7E933314" w14:textId="77777777" w:rsidR="0081231D" w:rsidRPr="0081231D" w:rsidRDefault="0081231D" w:rsidP="0081231D">
      <w:r w:rsidRPr="0081231D">
        <w:t xml:space="preserve">You want to turn FOMC statement text at meeting </w:t>
      </w:r>
      <w:r w:rsidRPr="0081231D">
        <w:rPr>
          <w:i/>
          <w:iCs/>
        </w:rPr>
        <w:t>t</w:t>
      </w:r>
      <w:r w:rsidRPr="0081231D">
        <w:t xml:space="preserve"> into a distributional predictor of the policy stance at </w:t>
      </w:r>
      <w:r w:rsidRPr="0081231D">
        <w:rPr>
          <w:i/>
          <w:iCs/>
        </w:rPr>
        <w:t>t+1</w:t>
      </w:r>
      <w:r w:rsidRPr="0081231D">
        <w:t>. Rather than a single hawk/dove score, the output is a probability distribution — capturing the Fed's asymmetric reaction function (they respond more aggressively to inflation risks than to low-inflation scenarios). The width of that distribution is your uncertainty measure.</w:t>
      </w:r>
    </w:p>
    <w:p w14:paraId="701B7648" w14:textId="77777777" w:rsidR="0081231D" w:rsidRPr="0081231D" w:rsidRDefault="0081231D" w:rsidP="0081231D">
      <w:r w:rsidRPr="0081231D">
        <w:pict w14:anchorId="2A647CFE">
          <v:rect id="_x0000_i1080" style="width:0;height:1.5pt" o:hralign="center" o:hrstd="t" o:hr="t" fillcolor="#a0a0a0" stroked="f"/>
        </w:pict>
      </w:r>
    </w:p>
    <w:p w14:paraId="68959746" w14:textId="77777777" w:rsidR="0081231D" w:rsidRPr="0081231D" w:rsidRDefault="0081231D" w:rsidP="0081231D">
      <w:pPr>
        <w:rPr>
          <w:b/>
          <w:bCs/>
        </w:rPr>
      </w:pPr>
      <w:r w:rsidRPr="0081231D">
        <w:rPr>
          <w:b/>
          <w:bCs/>
        </w:rPr>
        <w:t>1. Model Choice: Why Mistral 7B Is Good, But Consider Alternatives</w:t>
      </w:r>
    </w:p>
    <w:p w14:paraId="4DD940A8" w14:textId="77777777" w:rsidR="0081231D" w:rsidRPr="0081231D" w:rsidRDefault="0081231D" w:rsidP="0081231D">
      <w:r w:rsidRPr="0081231D">
        <w:rPr>
          <w:b/>
          <w:bCs/>
        </w:rPr>
        <w:t>Mistral 7B</w:t>
      </w:r>
      <w:r w:rsidRPr="0081231D">
        <w:t xml:space="preserve"> is a solid baseline. Research from ACM (2024) fine-tuning Mistral-7B, Llama3-8B, and Phi-3-mini on financial classification found that Mistral is particularly well-suited for custom fine-tuning on small datasets. However, I'd recommend </w:t>
      </w:r>
      <w:r w:rsidRPr="0081231D">
        <w:rPr>
          <w:b/>
          <w:bCs/>
        </w:rPr>
        <w:t>benchmarking against two alternatives</w:t>
      </w:r>
      <w:r w:rsidRPr="0081231D">
        <w:t xml:space="preserve"> before committing:</w:t>
      </w:r>
    </w:p>
    <w:p w14:paraId="229239E9" w14:textId="77777777" w:rsidR="0081231D" w:rsidRPr="0081231D" w:rsidRDefault="0081231D" w:rsidP="0081231D">
      <w:pPr>
        <w:numPr>
          <w:ilvl w:val="0"/>
          <w:numId w:val="1"/>
        </w:numPr>
      </w:pPr>
      <w:r w:rsidRPr="0081231D">
        <w:rPr>
          <w:b/>
          <w:bCs/>
        </w:rPr>
        <w:t>Llama 3.1 8B</w:t>
      </w:r>
      <w:r w:rsidRPr="0081231D">
        <w:t xml:space="preserve"> — slightly larger context window (8K vs Mistral's 8K, but better positional encoding), and ACM's comparative study showed instruct variants are more robust on complex financial tasks. Important since FOMC language is subtle.</w:t>
      </w:r>
    </w:p>
    <w:p w14:paraId="5EC4610E" w14:textId="77777777" w:rsidR="0081231D" w:rsidRPr="0081231D" w:rsidRDefault="0081231D" w:rsidP="0081231D">
      <w:pPr>
        <w:numPr>
          <w:ilvl w:val="0"/>
          <w:numId w:val="1"/>
        </w:numPr>
      </w:pPr>
      <w:r w:rsidRPr="0081231D">
        <w:rPr>
          <w:b/>
          <w:bCs/>
        </w:rPr>
        <w:t>Phi-3-mini (3.8B)</w:t>
      </w:r>
      <w:r w:rsidRPr="0081231D">
        <w:t xml:space="preserve"> — half the parameters, fits trivially in 16GB VRAM, and 2026 benchmarks show it delivers 80-90% of GPT-4 quality on focused tasks. If your fine-tuning data is small (~800-1000 labels), a smaller model may actually generalize better.</w:t>
      </w:r>
    </w:p>
    <w:p w14:paraId="2ECC45E1" w14:textId="77777777" w:rsidR="0081231D" w:rsidRPr="0081231D" w:rsidRDefault="0081231D" w:rsidP="0081231D">
      <w:r w:rsidRPr="0081231D">
        <w:rPr>
          <w:b/>
          <w:bCs/>
        </w:rPr>
        <w:t>My recommendation</w:t>
      </w:r>
      <w:r w:rsidRPr="0081231D">
        <w:t>: start with Mistral 7B as your primary, and add a Phi-3 comparison as a cheap ablation. Your 16GB VRAM handles Mistral 7B in 4-bit QLoRA comfortably (~5-6GB base + room for batch gradients).</w:t>
      </w:r>
    </w:p>
    <w:p w14:paraId="6DA1A2E0" w14:textId="77777777" w:rsidR="0081231D" w:rsidRPr="0081231D" w:rsidRDefault="0081231D" w:rsidP="0081231D">
      <w:r w:rsidRPr="0081231D">
        <w:pict w14:anchorId="6C1BE10E">
          <v:rect id="_x0000_i1081" style="width:0;height:1.5pt" o:hralign="center" o:hrstd="t" o:hr="t" fillcolor="#a0a0a0" stroked="f"/>
        </w:pict>
      </w:r>
    </w:p>
    <w:p w14:paraId="6CF258EB" w14:textId="77777777" w:rsidR="0081231D" w:rsidRPr="0081231D" w:rsidRDefault="0081231D" w:rsidP="0081231D">
      <w:pPr>
        <w:rPr>
          <w:b/>
          <w:bCs/>
        </w:rPr>
      </w:pPr>
      <w:r w:rsidRPr="0081231D">
        <w:rPr>
          <w:b/>
          <w:bCs/>
        </w:rPr>
        <w:t>2. Labelling Taxonomy — What Your Friend Laid Out + My Additions</w:t>
      </w:r>
    </w:p>
    <w:p w14:paraId="284A1ECB" w14:textId="77777777" w:rsidR="0081231D" w:rsidRPr="0081231D" w:rsidRDefault="0081231D" w:rsidP="0081231D">
      <w:r w:rsidRPr="0081231D">
        <w:t>Your friend's taxonomy is strong. The two-branch structure makes sense:</w:t>
      </w:r>
    </w:p>
    <w:p w14:paraId="3E8C091E" w14:textId="77777777" w:rsidR="0081231D" w:rsidRPr="0081231D" w:rsidRDefault="0081231D" w:rsidP="0081231D">
      <w:r w:rsidRPr="0081231D">
        <w:rPr>
          <w:b/>
          <w:bCs/>
        </w:rPr>
        <w:lastRenderedPageBreak/>
        <w:t>Branch 1 — Forward Guidance</w:t>
      </w:r>
      <w:r w:rsidRPr="0081231D">
        <w:t xml:space="preserve">: classified as Odyssean (commitment-like, promissory) vs Delphic (forecast-like, predictive), with an </w:t>
      </w:r>
      <w:r w:rsidRPr="0081231D">
        <w:rPr>
          <w:b/>
          <w:bCs/>
        </w:rPr>
        <w:t>uncertainty</w:t>
      </w:r>
      <w:r w:rsidRPr="0081231D">
        <w:t xml:space="preserve"> sub-dimension. Campbell et al. (2012) from the Chicago Fed established this distinction and showed Odyssean guidance has opposite effects on financial conditions compared to Delphic — so they </w:t>
      </w:r>
      <w:r w:rsidRPr="0081231D">
        <w:rPr>
          <w:i/>
          <w:iCs/>
        </w:rPr>
        <w:t>must</w:t>
      </w:r>
      <w:r w:rsidRPr="0081231D">
        <w:t xml:space="preserve"> be separated for your predictor to work.</w:t>
      </w:r>
    </w:p>
    <w:p w14:paraId="1D46A6A8" w14:textId="77777777" w:rsidR="0081231D" w:rsidRPr="0081231D" w:rsidRDefault="0081231D" w:rsidP="0081231D">
      <w:r w:rsidRPr="0081231D">
        <w:rPr>
          <w:b/>
          <w:bCs/>
        </w:rPr>
        <w:t>Branch 2 — Economic Sentiment</w:t>
      </w:r>
      <w:r w:rsidRPr="0081231D">
        <w:t xml:space="preserve">: sub-classified by topic (inflation, labor, GDP/financial conditions), with an </w:t>
      </w:r>
      <w:r w:rsidRPr="0081231D">
        <w:rPr>
          <w:b/>
          <w:bCs/>
        </w:rPr>
        <w:t>intensity</w:t>
      </w:r>
      <w:r w:rsidRPr="0081231D">
        <w:t xml:space="preserve"> gradient to capture asymmetric tail-risk information (per Aruoba &amp; Drechsel's work on identifying monetary policy shocks).</w:t>
      </w:r>
    </w:p>
    <w:p w14:paraId="3A743DF1" w14:textId="77777777" w:rsidR="0081231D" w:rsidRPr="0081231D" w:rsidRDefault="0081231D" w:rsidP="0081231D">
      <w:r w:rsidRPr="0081231D">
        <w:rPr>
          <w:b/>
          <w:bCs/>
        </w:rPr>
        <w:t>What I'd add from the literature:</w:t>
      </w:r>
    </w:p>
    <w:p w14:paraId="18792843" w14:textId="77777777" w:rsidR="0081231D" w:rsidRPr="0081231D" w:rsidRDefault="0081231D" w:rsidP="0081231D">
      <w:pPr>
        <w:numPr>
          <w:ilvl w:val="0"/>
          <w:numId w:val="2"/>
        </w:numPr>
      </w:pPr>
      <w:r w:rsidRPr="0081231D">
        <w:t xml:space="preserve">The BIS Working Paper 1294 ("Parsing the Pulse") decomposes sentiment into </w:t>
      </w:r>
      <w:r w:rsidRPr="0081231D">
        <w:rPr>
          <w:b/>
          <w:bCs/>
        </w:rPr>
        <w:t>demand vs supply</w:t>
      </w:r>
      <w:r w:rsidRPr="0081231D">
        <w:t xml:space="preserve"> drivers. This could be useful as a third axis — supply-driven inflation sentiment may predict more aggressive Fed response than demand-driven.</w:t>
      </w:r>
    </w:p>
    <w:p w14:paraId="7B0A406B" w14:textId="77777777" w:rsidR="0081231D" w:rsidRPr="0081231D" w:rsidRDefault="0081231D" w:rsidP="0081231D">
      <w:pPr>
        <w:numPr>
          <w:ilvl w:val="0"/>
          <w:numId w:val="2"/>
        </w:numPr>
      </w:pPr>
      <w:r w:rsidRPr="0081231D">
        <w:t xml:space="preserve">Consider adding a </w:t>
      </w:r>
      <w:r w:rsidRPr="0081231D">
        <w:rPr>
          <w:b/>
          <w:bCs/>
        </w:rPr>
        <w:t>"neutral/procedural"</w:t>
      </w:r>
      <w:r w:rsidRPr="0081231D">
        <w:t xml:space="preserve"> category for boilerplate sentences that carry no signal. This prevents the model from being forced to classify noise.</w:t>
      </w:r>
    </w:p>
    <w:p w14:paraId="53563DE9" w14:textId="77777777" w:rsidR="0081231D" w:rsidRPr="0081231D" w:rsidRDefault="0081231D" w:rsidP="0081231D">
      <w:r w:rsidRPr="0081231D">
        <w:pict w14:anchorId="0495CC8D">
          <v:rect id="_x0000_i1082" style="width:0;height:1.5pt" o:hralign="center" o:hrstd="t" o:hr="t" fillcolor="#a0a0a0" stroked="f"/>
        </w:pict>
      </w:r>
    </w:p>
    <w:p w14:paraId="2E91E2FF" w14:textId="77777777" w:rsidR="0081231D" w:rsidRPr="0081231D" w:rsidRDefault="0081231D" w:rsidP="0081231D">
      <w:pPr>
        <w:rPr>
          <w:b/>
          <w:bCs/>
        </w:rPr>
      </w:pPr>
      <w:r w:rsidRPr="0081231D">
        <w:rPr>
          <w:b/>
          <w:bCs/>
        </w:rPr>
        <w:t>3. QLoRA Configuration — Specific to Your Setup</w:t>
      </w:r>
    </w:p>
    <w:p w14:paraId="2DBE11D3" w14:textId="77777777" w:rsidR="0081231D" w:rsidRPr="0081231D" w:rsidRDefault="0081231D" w:rsidP="0081231D">
      <w:r w:rsidRPr="0081231D">
        <w:rPr>
          <w:b/>
          <w:bCs/>
        </w:rPr>
        <w:t>Hardware budget</w:t>
      </w:r>
      <w:r w:rsidRPr="0081231D">
        <w:t>: RTX 4070 Ti Super (16GB VRAM), i7-14700KF, 32GB system RAM.</w:t>
      </w:r>
    </w:p>
    <w:p w14:paraId="6FBEA68A" w14:textId="77777777" w:rsidR="0081231D" w:rsidRPr="0081231D" w:rsidRDefault="0081231D" w:rsidP="0081231D">
      <w:r w:rsidRPr="0081231D">
        <w:t xml:space="preserve">For </w:t>
      </w:r>
      <w:r w:rsidRPr="0081231D">
        <w:rPr>
          <w:b/>
          <w:bCs/>
        </w:rPr>
        <w:t>Mistral 7B in 4-bit NF4 quantization</w:t>
      </w:r>
      <w:r w:rsidRPr="0081231D">
        <w:t xml:space="preserve">, your memory footprint is roughly: ~5GB base model + ~1-2GB LoRA adapters + ~4-6GB for optimizer states and gradients = </w:t>
      </w:r>
      <w:r w:rsidRPr="0081231D">
        <w:rPr>
          <w:b/>
          <w:bCs/>
        </w:rPr>
        <w:t>~12-14GB total</w:t>
      </w:r>
      <w:r w:rsidRPr="0081231D">
        <w:t>, leaving headroom.</w:t>
      </w:r>
    </w:p>
    <w:p w14:paraId="0007E2A4" w14:textId="77777777" w:rsidR="0081231D" w:rsidRPr="0081231D" w:rsidRDefault="0081231D" w:rsidP="0081231D">
      <w:r w:rsidRPr="0081231D">
        <w:rPr>
          <w:b/>
          <w:bCs/>
        </w:rPr>
        <w:t>LoRA hyperparameter ranges for Optuna</w:t>
      </w:r>
      <w:r w:rsidRPr="0081231D">
        <w:t xml:space="preserve"> (informed by the research):</w:t>
      </w:r>
    </w:p>
    <w:p w14:paraId="498E4D46" w14:textId="77777777" w:rsidR="0081231D" w:rsidRPr="0081231D" w:rsidRDefault="0081231D" w:rsidP="0081231D">
      <w:pPr>
        <w:numPr>
          <w:ilvl w:val="0"/>
          <w:numId w:val="3"/>
        </w:numPr>
      </w:pPr>
      <w:r w:rsidRPr="0081231D">
        <w:rPr>
          <w:b/>
          <w:bCs/>
        </w:rPr>
        <w:t>Rank r</w:t>
      </w:r>
      <w:r w:rsidRPr="0081231D">
        <w:t>: search over {4, 8, 16, 32}. The original LoRA paper and ICLR 2025 (LoRA-Pro) both find r=8 is often optimal for classification. But with ~800-1000 training samples, lower ranks (4 or 8) may generalize better — you don't have enough data to fill a rank-32 adaptation.</w:t>
      </w:r>
    </w:p>
    <w:p w14:paraId="733749E6" w14:textId="77777777" w:rsidR="0081231D" w:rsidRPr="0081231D" w:rsidRDefault="0081231D" w:rsidP="0081231D">
      <w:pPr>
        <w:numPr>
          <w:ilvl w:val="0"/>
          <w:numId w:val="3"/>
        </w:numPr>
      </w:pPr>
      <w:r w:rsidRPr="0081231D">
        <w:rPr>
          <w:b/>
          <w:bCs/>
        </w:rPr>
        <w:t>Alpha (α)</w:t>
      </w:r>
      <w:r w:rsidRPr="0081231D">
        <w:t>: conventionally set equal to r initially, then tuned. Search {r, 2r}.</w:t>
      </w:r>
    </w:p>
    <w:p w14:paraId="2B1AF15F" w14:textId="77777777" w:rsidR="0081231D" w:rsidRPr="0081231D" w:rsidRDefault="0081231D" w:rsidP="0081231D">
      <w:pPr>
        <w:numPr>
          <w:ilvl w:val="0"/>
          <w:numId w:val="3"/>
        </w:numPr>
      </w:pPr>
      <w:r w:rsidRPr="0081231D">
        <w:rPr>
          <w:b/>
          <w:bCs/>
        </w:rPr>
        <w:t>Dropout</w:t>
      </w:r>
      <w:r w:rsidRPr="0081231D">
        <w:t>: {0.0, 0.05, 0.1}. With small data, non-zero dropout helps.</w:t>
      </w:r>
    </w:p>
    <w:p w14:paraId="43AA83E2" w14:textId="77777777" w:rsidR="0081231D" w:rsidRPr="0081231D" w:rsidRDefault="0081231D" w:rsidP="0081231D">
      <w:pPr>
        <w:numPr>
          <w:ilvl w:val="0"/>
          <w:numId w:val="3"/>
        </w:numPr>
      </w:pPr>
      <w:r w:rsidRPr="0081231D">
        <w:rPr>
          <w:b/>
          <w:bCs/>
        </w:rPr>
        <w:t>Target modules</w:t>
      </w:r>
      <w:r w:rsidRPr="0081231D">
        <w:t xml:space="preserve">: your friend's doc mentions the Dettmers et al. finding that </w:t>
      </w:r>
      <w:r w:rsidRPr="0081231D">
        <w:rPr>
          <w:b/>
          <w:bCs/>
        </w:rPr>
        <w:t>all linear layers</w:t>
      </w:r>
      <w:r w:rsidRPr="0081231D">
        <w:t xml:space="preserve"> outperform attention-only targeting. I agree — start with all linear layers, and if training time is too slow, fall back to attention-only as an ablation.</w:t>
      </w:r>
    </w:p>
    <w:p w14:paraId="7F923BAE" w14:textId="77777777" w:rsidR="0081231D" w:rsidRPr="0081231D" w:rsidRDefault="0081231D" w:rsidP="0081231D">
      <w:pPr>
        <w:numPr>
          <w:ilvl w:val="0"/>
          <w:numId w:val="3"/>
        </w:numPr>
      </w:pPr>
      <w:r w:rsidRPr="0081231D">
        <w:rPr>
          <w:b/>
          <w:bCs/>
        </w:rPr>
        <w:t>Learning rate</w:t>
      </w:r>
      <w:r w:rsidRPr="0081231D">
        <w:t>: {1e-4, 2e-4, 5e-4} — standard range for QLoRA.</w:t>
      </w:r>
    </w:p>
    <w:p w14:paraId="28088676" w14:textId="77777777" w:rsidR="0081231D" w:rsidRPr="0081231D" w:rsidRDefault="0081231D" w:rsidP="0081231D">
      <w:pPr>
        <w:numPr>
          <w:ilvl w:val="0"/>
          <w:numId w:val="3"/>
        </w:numPr>
      </w:pPr>
      <w:r w:rsidRPr="0081231D">
        <w:rPr>
          <w:b/>
          <w:bCs/>
        </w:rPr>
        <w:lastRenderedPageBreak/>
        <w:t>Max sequence length</w:t>
      </w:r>
      <w:r w:rsidRPr="0081231D">
        <w:t>: FOMC sentences are short. 256 tokens should suffice for sentence-level, 512 if you later move to paragraph-level. Keeping this low saves VRAM.</w:t>
      </w:r>
    </w:p>
    <w:p w14:paraId="6A1B2745" w14:textId="77777777" w:rsidR="0081231D" w:rsidRPr="0081231D" w:rsidRDefault="0081231D" w:rsidP="0081231D">
      <w:r w:rsidRPr="0081231D">
        <w:pict w14:anchorId="01D4F772">
          <v:rect id="_x0000_i1083" style="width:0;height:1.5pt" o:hralign="center" o:hrstd="t" o:hr="t" fillcolor="#a0a0a0" stroked="f"/>
        </w:pict>
      </w:r>
    </w:p>
    <w:p w14:paraId="2EBE6A11" w14:textId="77777777" w:rsidR="0081231D" w:rsidRPr="0081231D" w:rsidRDefault="0081231D" w:rsidP="0081231D">
      <w:pPr>
        <w:rPr>
          <w:b/>
          <w:bCs/>
        </w:rPr>
      </w:pPr>
      <w:r w:rsidRPr="0081231D">
        <w:rPr>
          <w:b/>
          <w:bCs/>
        </w:rPr>
        <w:t>4. Active Learning Strategy</w:t>
      </w:r>
    </w:p>
    <w:p w14:paraId="59F7EC82" w14:textId="77777777" w:rsidR="0081231D" w:rsidRPr="0081231D" w:rsidRDefault="0081231D" w:rsidP="0081231D">
      <w:r w:rsidRPr="0081231D">
        <w:t>Your friend's 4-phase plan is well-structured. From the latest research (ACL 2024, Wiley 2025), here are refinements:</w:t>
      </w:r>
    </w:p>
    <w:p w14:paraId="17392B5E" w14:textId="77777777" w:rsidR="0081231D" w:rsidRPr="0081231D" w:rsidRDefault="0081231D" w:rsidP="0081231D">
      <w:r w:rsidRPr="0081231D">
        <w:rPr>
          <w:b/>
          <w:bCs/>
        </w:rPr>
        <w:t>Phase 1 (Seed)</w:t>
      </w:r>
      <w:r w:rsidRPr="0081231D">
        <w:t>: 300-400 sentences, stratified across chair eras and policy regimes. This is correct.</w:t>
      </w:r>
    </w:p>
    <w:p w14:paraId="07417D75" w14:textId="77777777" w:rsidR="0081231D" w:rsidRPr="0081231D" w:rsidRDefault="0081231D" w:rsidP="0081231D">
      <w:r w:rsidRPr="0081231D">
        <w:rPr>
          <w:b/>
          <w:bCs/>
        </w:rPr>
        <w:t>Phase 2-3 (Active Learning Loop)</w:t>
      </w:r>
      <w:r w:rsidRPr="0081231D">
        <w:t xml:space="preserve">: Use </w:t>
      </w:r>
      <w:r w:rsidRPr="0081231D">
        <w:rPr>
          <w:b/>
          <w:bCs/>
        </w:rPr>
        <w:t>entropy-based uncertainty sampling</w:t>
      </w:r>
      <w:r w:rsidRPr="0081231D">
        <w:t xml:space="preserve"> — the model classifies all unlabelled sentences, and you hand-label the ones where the softmax distribution is flattest (highest entropy). The 2025 M-RARU algorithm from the Fed's own research achieved 80% reduction in labelling requirements, so this is well-validated for exactly your domain.</w:t>
      </w:r>
    </w:p>
    <w:p w14:paraId="7676AFD7" w14:textId="77777777" w:rsidR="0081231D" w:rsidRPr="0081231D" w:rsidRDefault="0081231D" w:rsidP="0081231D">
      <w:r w:rsidRPr="0081231D">
        <w:rPr>
          <w:b/>
          <w:bCs/>
        </w:rPr>
        <w:t>One important finding</w:t>
      </w:r>
      <w:r w:rsidRPr="0081231D">
        <w:t>: Zhang (2025) showed that using an LLM (like GPT-4) as an "oracle annotator" for the easy cases (where your fine-tuned model is already confident) while reserving human labels for the hard cases gives you the best cost/quality tradeoff. You could use Claude or GPT-4 to auto-label the high-confidence cases and only hand-label the uncertain ones.</w:t>
      </w:r>
    </w:p>
    <w:p w14:paraId="4244D01A" w14:textId="77777777" w:rsidR="0081231D" w:rsidRPr="0081231D" w:rsidRDefault="0081231D" w:rsidP="0081231D">
      <w:r w:rsidRPr="0081231D">
        <w:rPr>
          <w:b/>
          <w:bCs/>
        </w:rPr>
        <w:t>Your friend's caution about distributional shift</w:t>
      </w:r>
      <w:r w:rsidRPr="0081231D">
        <w:t xml:space="preserve"> (COVID, GFC sentences) is correct — hold these out as a separate validation set.</w:t>
      </w:r>
    </w:p>
    <w:p w14:paraId="64F05F2B" w14:textId="77777777" w:rsidR="0081231D" w:rsidRPr="0081231D" w:rsidRDefault="0081231D" w:rsidP="0081231D">
      <w:r w:rsidRPr="0081231D">
        <w:pict w14:anchorId="6225890F">
          <v:rect id="_x0000_i1084" style="width:0;height:1.5pt" o:hralign="center" o:hrstd="t" o:hr="t" fillcolor="#a0a0a0" stroked="f"/>
        </w:pict>
      </w:r>
    </w:p>
    <w:p w14:paraId="747FD9C5" w14:textId="77777777" w:rsidR="0081231D" w:rsidRPr="0081231D" w:rsidRDefault="0081231D" w:rsidP="0081231D">
      <w:pPr>
        <w:rPr>
          <w:b/>
          <w:bCs/>
        </w:rPr>
      </w:pPr>
      <w:r w:rsidRPr="0081231D">
        <w:rPr>
          <w:b/>
          <w:bCs/>
        </w:rPr>
        <w:t>5. Distributional Output — How to Get the Probability Distribution</w:t>
      </w:r>
    </w:p>
    <w:p w14:paraId="67D26302" w14:textId="77777777" w:rsidR="0081231D" w:rsidRPr="0081231D" w:rsidRDefault="0081231D" w:rsidP="0081231D">
      <w:r w:rsidRPr="0081231D">
        <w:t>This is where the thesis gets novel. Two approaches:</w:t>
      </w:r>
    </w:p>
    <w:p w14:paraId="0D2D3B17" w14:textId="77777777" w:rsidR="0081231D" w:rsidRPr="0081231D" w:rsidRDefault="0081231D" w:rsidP="0081231D">
      <w:r w:rsidRPr="0081231D">
        <w:rPr>
          <w:b/>
          <w:bCs/>
        </w:rPr>
        <w:t>Approach A — Multi-class softmax (simpler)</w:t>
      </w:r>
      <w:r w:rsidRPr="0081231D">
        <w:t xml:space="preserve">: Frame it as a classification with ordered categories (e.g., "strongly hawkish / hawkish / neutral / dovish / strongly dovish"). The softmax probabilities </w:t>
      </w:r>
      <w:r w:rsidRPr="0081231D">
        <w:rPr>
          <w:i/>
          <w:iCs/>
        </w:rPr>
        <w:t>are</w:t>
      </w:r>
      <w:r w:rsidRPr="0081231D">
        <w:t xml:space="preserve"> your distribution. The asymmetry shows up naturally: if the model puts 60% on "strongly hawkish" and 30% on "hawkish", you have a skewed distribution. Uncertainty = entropy of the distribution.</w:t>
      </w:r>
    </w:p>
    <w:p w14:paraId="1B40A265" w14:textId="77777777" w:rsidR="0081231D" w:rsidRPr="0081231D" w:rsidRDefault="0081231D" w:rsidP="0081231D">
      <w:r w:rsidRPr="0081231D">
        <w:rPr>
          <w:b/>
          <w:bCs/>
        </w:rPr>
        <w:t>Approach B — Ordinal regression head (more principled)</w:t>
      </w:r>
      <w:r w:rsidRPr="0081231D">
        <w:t>: Replace the standard classification head with an ordinal regression layer that respects the ordering of your categories. This forces the distribution to be unimodal and prevents pathological outputs (e.g., high probability on both "strongly hawkish" and "strongly dovish"). This is more aligned with your economic intuition.</w:t>
      </w:r>
    </w:p>
    <w:p w14:paraId="19A2C9A5" w14:textId="77777777" w:rsidR="0081231D" w:rsidRPr="0081231D" w:rsidRDefault="0081231D" w:rsidP="0081231D">
      <w:r w:rsidRPr="0081231D">
        <w:rPr>
          <w:b/>
          <w:bCs/>
        </w:rPr>
        <w:lastRenderedPageBreak/>
        <w:t>My recommendation</w:t>
      </w:r>
      <w:r w:rsidRPr="0081231D">
        <w:t>: start with Approach A for simplicity, then test Approach B as a contribution to your thesis since it's more methodologically sound.</w:t>
      </w:r>
    </w:p>
    <w:p w14:paraId="151E8753" w14:textId="77777777" w:rsidR="0081231D" w:rsidRPr="0081231D" w:rsidRDefault="0081231D" w:rsidP="0081231D">
      <w:r w:rsidRPr="0081231D">
        <w:pict w14:anchorId="5507EA94">
          <v:rect id="_x0000_i1085" style="width:0;height:1.5pt" o:hralign="center" o:hrstd="t" o:hr="t" fillcolor="#a0a0a0" stroked="f"/>
        </w:pict>
      </w:r>
    </w:p>
    <w:p w14:paraId="4F3A4076" w14:textId="77777777" w:rsidR="0081231D" w:rsidRPr="0081231D" w:rsidRDefault="0081231D" w:rsidP="0081231D">
      <w:pPr>
        <w:rPr>
          <w:b/>
          <w:bCs/>
        </w:rPr>
      </w:pPr>
      <w:r w:rsidRPr="0081231D">
        <w:rPr>
          <w:b/>
          <w:bCs/>
        </w:rPr>
        <w:t>6. State-of-the-Art Context — What Exists</w:t>
      </w:r>
    </w:p>
    <w:p w14:paraId="08C7C962" w14:textId="77777777" w:rsidR="0081231D" w:rsidRPr="0081231D" w:rsidRDefault="0081231D" w:rsidP="0081231D">
      <w:r w:rsidRPr="0081231D">
        <w:t>Key papers you should be aware of:</w:t>
      </w:r>
    </w:p>
    <w:p w14:paraId="73857842" w14:textId="77777777" w:rsidR="0081231D" w:rsidRPr="0081231D" w:rsidRDefault="0081231D" w:rsidP="0081231D">
      <w:pPr>
        <w:numPr>
          <w:ilvl w:val="0"/>
          <w:numId w:val="4"/>
        </w:numPr>
      </w:pPr>
      <w:r w:rsidRPr="0081231D">
        <w:rPr>
          <w:b/>
          <w:bCs/>
        </w:rPr>
        <w:t>IMF WP/2025/109</w:t>
      </w:r>
      <w:r w:rsidRPr="0081231D">
        <w:t xml:space="preserve"> — large-scale LLM analysis of central bank communication, found GPT-4 and Llama-3 70B achieve 80-81% accuracy on FOMC stance classification </w:t>
      </w:r>
      <w:r w:rsidRPr="0081231D">
        <w:rPr>
          <w:i/>
          <w:iCs/>
        </w:rPr>
        <w:t>without fine-tuning</w:t>
      </w:r>
      <w:r w:rsidRPr="0081231D">
        <w:t>. Your fine-tuned smaller model should beat this on your specific taxonomy.</w:t>
      </w:r>
    </w:p>
    <w:p w14:paraId="62637D00" w14:textId="77777777" w:rsidR="0081231D" w:rsidRPr="0081231D" w:rsidRDefault="0081231D" w:rsidP="0081231D">
      <w:pPr>
        <w:numPr>
          <w:ilvl w:val="0"/>
          <w:numId w:val="4"/>
        </w:numPr>
      </w:pPr>
      <w:r w:rsidRPr="0081231D">
        <w:rPr>
          <w:b/>
          <w:bCs/>
        </w:rPr>
        <w:t>BIS WP/1294</w:t>
      </w:r>
      <w:r w:rsidRPr="0081231D">
        <w:t xml:space="preserve"> ("Parsing the Pulse") — decomposes macro sentiment with LLMs, constructs demand/supply indices from news. Methodologically closest to what you're doing.</w:t>
      </w:r>
    </w:p>
    <w:p w14:paraId="1DBF611D" w14:textId="77777777" w:rsidR="0081231D" w:rsidRPr="0081231D" w:rsidRDefault="0081231D" w:rsidP="0081231D">
      <w:pPr>
        <w:numPr>
          <w:ilvl w:val="0"/>
          <w:numId w:val="4"/>
        </w:numPr>
      </w:pPr>
      <w:r w:rsidRPr="0081231D">
        <w:rPr>
          <w:b/>
          <w:bCs/>
        </w:rPr>
        <w:t>Fed FEDS Notes (Dec 2024)</w:t>
      </w:r>
      <w:r w:rsidRPr="0081231D">
        <w:t xml:space="preserve"> — the Fed themselves using generative AI on FOMC minutes.</w:t>
      </w:r>
    </w:p>
    <w:p w14:paraId="51FD4F87" w14:textId="77777777" w:rsidR="0081231D" w:rsidRPr="0081231D" w:rsidRDefault="0081231D" w:rsidP="0081231D">
      <w:pPr>
        <w:numPr>
          <w:ilvl w:val="0"/>
          <w:numId w:val="4"/>
        </w:numPr>
      </w:pPr>
      <w:r w:rsidRPr="0081231D">
        <w:rPr>
          <w:b/>
          <w:bCs/>
        </w:rPr>
        <w:t>FinBERT-FOMC</w:t>
      </w:r>
      <w:r w:rsidRPr="0081231D">
        <w:t xml:space="preserve"> (ACM 2023) — fine-tuned BERT specifically for FOMC, uses a text simplification pipeline. Good baseline to compare against, but BERT-scale models lack the nuance of 7B models.</w:t>
      </w:r>
    </w:p>
    <w:p w14:paraId="7DE0DE82" w14:textId="77777777" w:rsidR="0081231D" w:rsidRPr="0081231D" w:rsidRDefault="0081231D" w:rsidP="0081231D">
      <w:pPr>
        <w:numPr>
          <w:ilvl w:val="0"/>
          <w:numId w:val="4"/>
        </w:numPr>
      </w:pPr>
      <w:r w:rsidRPr="0081231D">
        <w:rPr>
          <w:b/>
          <w:bCs/>
        </w:rPr>
        <w:t>Arxiv 2508.08001</w:t>
      </w:r>
      <w:r w:rsidRPr="0081231D">
        <w:t xml:space="preserve"> — "Interpreting Fedspeak with Confidence" — an LLM-based uncertainty-aware framework guided by monetary policy transmission paths. Directly relevant to your uncertainty measurement.</w:t>
      </w:r>
    </w:p>
    <w:p w14:paraId="36C513B8" w14:textId="77777777" w:rsidR="0081231D" w:rsidRPr="0081231D" w:rsidRDefault="0081231D" w:rsidP="0081231D">
      <w:r w:rsidRPr="0081231D">
        <w:pict w14:anchorId="2BBF105A">
          <v:rect id="_x0000_i1086" style="width:0;height:1.5pt" o:hralign="center" o:hrstd="t" o:hr="t" fillcolor="#a0a0a0" stroked="f"/>
        </w:pict>
      </w:r>
    </w:p>
    <w:p w14:paraId="4192424D" w14:textId="77777777" w:rsidR="0081231D" w:rsidRPr="0081231D" w:rsidRDefault="0081231D" w:rsidP="0081231D">
      <w:pPr>
        <w:rPr>
          <w:b/>
          <w:bCs/>
        </w:rPr>
      </w:pPr>
      <w:r w:rsidRPr="0081231D">
        <w:rPr>
          <w:b/>
          <w:bCs/>
        </w:rPr>
        <w:t>7. What the Pipeline Code Will Look Like</w:t>
      </w:r>
    </w:p>
    <w:p w14:paraId="23065040" w14:textId="77777777" w:rsidR="0081231D" w:rsidRPr="0081231D" w:rsidRDefault="0081231D" w:rsidP="0081231D">
      <w:r w:rsidRPr="0081231D">
        <w:t>When you approve, I'll build:</w:t>
      </w:r>
    </w:p>
    <w:p w14:paraId="44417DA4" w14:textId="77777777" w:rsidR="0081231D" w:rsidRPr="0081231D" w:rsidRDefault="0081231D" w:rsidP="0081231D">
      <w:pPr>
        <w:numPr>
          <w:ilvl w:val="0"/>
          <w:numId w:val="5"/>
        </w:numPr>
      </w:pPr>
      <w:r w:rsidRPr="0081231D">
        <w:rPr>
          <w:b/>
          <w:bCs/>
        </w:rPr>
        <w:t>Data preprocessing module</w:t>
      </w:r>
      <w:r w:rsidRPr="0081231D">
        <w:t xml:space="preserve"> — FOMC statement parser, sentence tokenizer, stratified sampling</w:t>
      </w:r>
    </w:p>
    <w:p w14:paraId="1F7DE6FB" w14:textId="77777777" w:rsidR="0081231D" w:rsidRPr="0081231D" w:rsidRDefault="0081231D" w:rsidP="0081231D">
      <w:pPr>
        <w:numPr>
          <w:ilvl w:val="0"/>
          <w:numId w:val="5"/>
        </w:numPr>
      </w:pPr>
      <w:r w:rsidRPr="0081231D">
        <w:rPr>
          <w:b/>
          <w:bCs/>
        </w:rPr>
        <w:t>QLoRA training script</w:t>
      </w:r>
      <w:r w:rsidRPr="0081231D">
        <w:t xml:space="preserve"> — using HuggingFace PEFT + bitsandbytes, with Optuna integration for hyperparameter search</w:t>
      </w:r>
    </w:p>
    <w:p w14:paraId="3C12DBF6" w14:textId="77777777" w:rsidR="0081231D" w:rsidRPr="0081231D" w:rsidRDefault="0081231D" w:rsidP="0081231D">
      <w:pPr>
        <w:numPr>
          <w:ilvl w:val="0"/>
          <w:numId w:val="5"/>
        </w:numPr>
      </w:pPr>
      <w:r w:rsidRPr="0081231D">
        <w:rPr>
          <w:b/>
          <w:bCs/>
        </w:rPr>
        <w:t>Active learning loop</w:t>
      </w:r>
      <w:r w:rsidRPr="0081231D">
        <w:t xml:space="preserve"> — uncertainty sampling, candidate selection, label integration</w:t>
      </w:r>
    </w:p>
    <w:p w14:paraId="3A8D4FB9" w14:textId="77777777" w:rsidR="0081231D" w:rsidRPr="0081231D" w:rsidRDefault="0081231D" w:rsidP="0081231D">
      <w:pPr>
        <w:numPr>
          <w:ilvl w:val="0"/>
          <w:numId w:val="5"/>
        </w:numPr>
      </w:pPr>
      <w:r w:rsidRPr="0081231D">
        <w:rPr>
          <w:b/>
          <w:bCs/>
        </w:rPr>
        <w:t>Inference module</w:t>
      </w:r>
      <w:r w:rsidRPr="0081231D">
        <w:t xml:space="preserve"> — distributional output extraction, uncertainty quantification</w:t>
      </w:r>
    </w:p>
    <w:p w14:paraId="5A384080" w14:textId="77777777" w:rsidR="0081231D" w:rsidRPr="0081231D" w:rsidRDefault="0081231D" w:rsidP="0081231D">
      <w:pPr>
        <w:numPr>
          <w:ilvl w:val="0"/>
          <w:numId w:val="5"/>
        </w:numPr>
      </w:pPr>
      <w:r w:rsidRPr="0081231D">
        <w:rPr>
          <w:b/>
          <w:bCs/>
        </w:rPr>
        <w:t>Evaluation</w:t>
      </w:r>
      <w:r w:rsidRPr="0081231D">
        <w:t xml:space="preserve"> — baseline benchmarking (pre-fine-tune vs post), cross-validation, per-category metrics</w:t>
      </w:r>
    </w:p>
    <w:p w14:paraId="3B0F559A" w14:textId="77777777" w:rsidR="0081231D" w:rsidRPr="0081231D" w:rsidRDefault="0081231D" w:rsidP="0081231D">
      <w:r w:rsidRPr="0081231D">
        <w:lastRenderedPageBreak/>
        <w:t>All configured for your RTX 4070 Ti Super with appropriate batch sizes and gradient accumulation.</w:t>
      </w:r>
    </w:p>
    <w:p w14:paraId="5653CC63" w14:textId="77777777" w:rsidR="0081231D" w:rsidRPr="0081231D" w:rsidRDefault="0081231D" w:rsidP="0081231D">
      <w:r w:rsidRPr="0081231D">
        <w:pict w14:anchorId="5BE30557">
          <v:rect id="_x0000_i1087" style="width:0;height:1.5pt" o:hralign="center" o:hrstd="t" o:hr="t" fillcolor="#a0a0a0" stroked="f"/>
        </w:pict>
      </w:r>
    </w:p>
    <w:p w14:paraId="67D4CAD4" w14:textId="77777777" w:rsidR="0081231D" w:rsidRPr="0081231D" w:rsidRDefault="0081231D" w:rsidP="0081231D">
      <w:r w:rsidRPr="0081231D">
        <w:rPr>
          <w:b/>
          <w:bCs/>
        </w:rPr>
        <w:t>What I need from you before proceeding</w:t>
      </w:r>
      <w:r w:rsidRPr="0081231D">
        <w:t>: your approval of this architecture, and any adjustments to the taxonomy, model choice, or distributional output approach. Also — does your friend already have any labels ready, or are we building the pipeline purely in "waiting for labels" mode?</w:t>
      </w:r>
    </w:p>
    <w:p w14:paraId="69761130" w14:textId="77777777" w:rsidR="0081231D" w:rsidRPr="0081231D" w:rsidRDefault="0081231D" w:rsidP="0081231D">
      <w:r w:rsidRPr="0081231D">
        <w:t>Sources:</w:t>
      </w:r>
    </w:p>
    <w:p w14:paraId="717E4709" w14:textId="77777777" w:rsidR="0081231D" w:rsidRPr="0081231D" w:rsidRDefault="0081231D" w:rsidP="0081231D">
      <w:pPr>
        <w:numPr>
          <w:ilvl w:val="0"/>
          <w:numId w:val="6"/>
        </w:numPr>
      </w:pPr>
      <w:hyperlink r:id="rId5" w:history="1">
        <w:r w:rsidRPr="0081231D">
          <w:rPr>
            <w:rStyle w:val="Hyperlink"/>
          </w:rPr>
          <w:t>BIS WP 1294 — Parsing the Pulse: Decomposing Macroeconomic Sentiment with LLMs</w:t>
        </w:r>
      </w:hyperlink>
    </w:p>
    <w:p w14:paraId="147813FE" w14:textId="77777777" w:rsidR="0081231D" w:rsidRPr="0081231D" w:rsidRDefault="0081231D" w:rsidP="0081231D">
      <w:pPr>
        <w:numPr>
          <w:ilvl w:val="0"/>
          <w:numId w:val="6"/>
        </w:numPr>
      </w:pPr>
      <w:hyperlink r:id="rId6" w:history="1">
        <w:r w:rsidRPr="0081231D">
          <w:rPr>
            <w:rStyle w:val="Hyperlink"/>
          </w:rPr>
          <w:t>IMF WP/25/109 — Large-Scale LLM Analysis of Central Bank Communication</w:t>
        </w:r>
      </w:hyperlink>
    </w:p>
    <w:p w14:paraId="5DA3A427" w14:textId="77777777" w:rsidR="0081231D" w:rsidRPr="0081231D" w:rsidRDefault="0081231D" w:rsidP="0081231D">
      <w:pPr>
        <w:numPr>
          <w:ilvl w:val="0"/>
          <w:numId w:val="6"/>
        </w:numPr>
      </w:pPr>
      <w:hyperlink r:id="rId7" w:history="1">
        <w:r w:rsidRPr="0081231D">
          <w:rPr>
            <w:rStyle w:val="Hyperlink"/>
          </w:rPr>
          <w:t>Fed FEDS Notes — Using Generative AI to Understand FOMC Discussions</w:t>
        </w:r>
      </w:hyperlink>
    </w:p>
    <w:p w14:paraId="69DD64CD" w14:textId="77777777" w:rsidR="0081231D" w:rsidRPr="0081231D" w:rsidRDefault="0081231D" w:rsidP="0081231D">
      <w:pPr>
        <w:numPr>
          <w:ilvl w:val="0"/>
          <w:numId w:val="6"/>
        </w:numPr>
      </w:pPr>
      <w:hyperlink r:id="rId8" w:history="1">
        <w:r w:rsidRPr="0081231D">
          <w:rPr>
            <w:rStyle w:val="Hyperlink"/>
          </w:rPr>
          <w:t>Interpreting Fedspeak with Confidence — Uncertainty-Aware Framework</w:t>
        </w:r>
      </w:hyperlink>
    </w:p>
    <w:p w14:paraId="6D70F73E" w14:textId="77777777" w:rsidR="0081231D" w:rsidRPr="0081231D" w:rsidRDefault="0081231D" w:rsidP="0081231D">
      <w:pPr>
        <w:numPr>
          <w:ilvl w:val="0"/>
          <w:numId w:val="6"/>
        </w:numPr>
      </w:pPr>
      <w:hyperlink r:id="rId9" w:history="1">
        <w:r w:rsidRPr="0081231D">
          <w:rPr>
            <w:rStyle w:val="Hyperlink"/>
          </w:rPr>
          <w:t>FinBERT-FOMC — Fine-Tuned for FOMC Sentiment</w:t>
        </w:r>
      </w:hyperlink>
    </w:p>
    <w:p w14:paraId="21C9FF82" w14:textId="77777777" w:rsidR="0081231D" w:rsidRPr="0081231D" w:rsidRDefault="0081231D" w:rsidP="0081231D">
      <w:pPr>
        <w:numPr>
          <w:ilvl w:val="0"/>
          <w:numId w:val="6"/>
        </w:numPr>
      </w:pPr>
      <w:hyperlink r:id="rId10" w:history="1">
        <w:r w:rsidRPr="0081231D">
          <w:rPr>
            <w:rStyle w:val="Hyperlink"/>
          </w:rPr>
          <w:t>ACM — Instruction Fine-Tuning LLMs for Financial Text Classification</w:t>
        </w:r>
      </w:hyperlink>
    </w:p>
    <w:p w14:paraId="5D5BECFA" w14:textId="77777777" w:rsidR="0081231D" w:rsidRPr="0081231D" w:rsidRDefault="0081231D" w:rsidP="0081231D">
      <w:pPr>
        <w:numPr>
          <w:ilvl w:val="0"/>
          <w:numId w:val="6"/>
        </w:numPr>
      </w:pPr>
      <w:hyperlink r:id="rId11" w:history="1">
        <w:r w:rsidRPr="0081231D">
          <w:rPr>
            <w:rStyle w:val="Hyperlink"/>
          </w:rPr>
          <w:t>ACL 2024 — LLM-Driven Active Learning and Human Annotation</w:t>
        </w:r>
      </w:hyperlink>
    </w:p>
    <w:p w14:paraId="2A9F08FD" w14:textId="77777777" w:rsidR="0081231D" w:rsidRPr="0081231D" w:rsidRDefault="0081231D" w:rsidP="0081231D">
      <w:pPr>
        <w:numPr>
          <w:ilvl w:val="0"/>
          <w:numId w:val="6"/>
        </w:numPr>
      </w:pPr>
      <w:hyperlink r:id="rId12" w:history="1">
        <w:r w:rsidRPr="0081231D">
          <w:rPr>
            <w:rStyle w:val="Hyperlink"/>
          </w:rPr>
          <w:t>Zhang 2025 — Cost-Efficient Cross-Task Classification via Active Learning</w:t>
        </w:r>
      </w:hyperlink>
    </w:p>
    <w:p w14:paraId="3228A768" w14:textId="77777777" w:rsidR="0081231D" w:rsidRPr="0081231D" w:rsidRDefault="0081231D" w:rsidP="0081231D">
      <w:pPr>
        <w:numPr>
          <w:ilvl w:val="0"/>
          <w:numId w:val="6"/>
        </w:numPr>
      </w:pPr>
      <w:hyperlink r:id="rId13" w:history="1">
        <w:r w:rsidRPr="0081231D">
          <w:rPr>
            <w:rStyle w:val="Hyperlink"/>
          </w:rPr>
          <w:t>Fed WP — Active Knowledge Distillation (M-RARU)</w:t>
        </w:r>
      </w:hyperlink>
    </w:p>
    <w:p w14:paraId="5CAAFDEC" w14:textId="77777777" w:rsidR="0081231D" w:rsidRPr="0081231D" w:rsidRDefault="0081231D" w:rsidP="0081231D">
      <w:pPr>
        <w:numPr>
          <w:ilvl w:val="0"/>
          <w:numId w:val="6"/>
        </w:numPr>
      </w:pPr>
      <w:hyperlink r:id="rId14" w:history="1">
        <w:r w:rsidRPr="0081231D">
          <w:rPr>
            <w:rStyle w:val="Hyperlink"/>
          </w:rPr>
          <w:t>LoRA-Pro — ICLR 2025</w:t>
        </w:r>
      </w:hyperlink>
    </w:p>
    <w:p w14:paraId="26DC28F8" w14:textId="77777777" w:rsidR="0081231D" w:rsidRPr="0081231D" w:rsidRDefault="0081231D" w:rsidP="0081231D">
      <w:pPr>
        <w:numPr>
          <w:ilvl w:val="0"/>
          <w:numId w:val="6"/>
        </w:numPr>
      </w:pPr>
      <w:hyperlink r:id="rId15" w:history="1">
        <w:r w:rsidRPr="0081231D">
          <w:rPr>
            <w:rStyle w:val="Hyperlink"/>
          </w:rPr>
          <w:t>Campbell et al. — Odyssean Forward Guidance Primer</w:t>
        </w:r>
      </w:hyperlink>
    </w:p>
    <w:p w14:paraId="671C6A96" w14:textId="77777777" w:rsidR="0081231D" w:rsidRPr="0081231D" w:rsidRDefault="0081231D" w:rsidP="0081231D">
      <w:pPr>
        <w:numPr>
          <w:ilvl w:val="0"/>
          <w:numId w:val="6"/>
        </w:numPr>
      </w:pPr>
      <w:hyperlink r:id="rId16" w:history="1">
        <w:r w:rsidRPr="0081231D">
          <w:rPr>
            <w:rStyle w:val="Hyperlink"/>
          </w:rPr>
          <w:t>Databricks — Efficient Fine-Tuning with LoRA</w:t>
        </w:r>
      </w:hyperlink>
    </w:p>
    <w:p w14:paraId="38BB77B3" w14:textId="77777777" w:rsidR="0081231D" w:rsidRDefault="0081231D"/>
    <w:sectPr w:rsidR="008123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621"/>
    <w:multiLevelType w:val="multilevel"/>
    <w:tmpl w:val="816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3525"/>
    <w:multiLevelType w:val="multilevel"/>
    <w:tmpl w:val="F22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E366B"/>
    <w:multiLevelType w:val="multilevel"/>
    <w:tmpl w:val="E726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5495D"/>
    <w:multiLevelType w:val="multilevel"/>
    <w:tmpl w:val="8D0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E0E3A"/>
    <w:multiLevelType w:val="multilevel"/>
    <w:tmpl w:val="F584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A5F0B"/>
    <w:multiLevelType w:val="multilevel"/>
    <w:tmpl w:val="093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429673">
    <w:abstractNumId w:val="4"/>
  </w:num>
  <w:num w:numId="2" w16cid:durableId="1577285226">
    <w:abstractNumId w:val="0"/>
  </w:num>
  <w:num w:numId="3" w16cid:durableId="904994917">
    <w:abstractNumId w:val="3"/>
  </w:num>
  <w:num w:numId="4" w16cid:durableId="1429813278">
    <w:abstractNumId w:val="5"/>
  </w:num>
  <w:num w:numId="5" w16cid:durableId="1656495856">
    <w:abstractNumId w:val="2"/>
  </w:num>
  <w:num w:numId="6" w16cid:durableId="639844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31D"/>
    <w:rsid w:val="00182BCC"/>
    <w:rsid w:val="0081231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C176"/>
  <w15:chartTrackingRefBased/>
  <w15:docId w15:val="{FD2444F5-CC84-4600-924F-358C13F5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31D"/>
    <w:rPr>
      <w:rFonts w:eastAsiaTheme="majorEastAsia" w:cstheme="majorBidi"/>
      <w:color w:val="272727" w:themeColor="text1" w:themeTint="D8"/>
    </w:rPr>
  </w:style>
  <w:style w:type="paragraph" w:styleId="Title">
    <w:name w:val="Title"/>
    <w:basedOn w:val="Normal"/>
    <w:next w:val="Normal"/>
    <w:link w:val="TitleChar"/>
    <w:uiPriority w:val="10"/>
    <w:qFormat/>
    <w:rsid w:val="0081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31D"/>
    <w:pPr>
      <w:spacing w:before="160"/>
      <w:jc w:val="center"/>
    </w:pPr>
    <w:rPr>
      <w:i/>
      <w:iCs/>
      <w:color w:val="404040" w:themeColor="text1" w:themeTint="BF"/>
    </w:rPr>
  </w:style>
  <w:style w:type="character" w:customStyle="1" w:styleId="QuoteChar">
    <w:name w:val="Quote Char"/>
    <w:basedOn w:val="DefaultParagraphFont"/>
    <w:link w:val="Quote"/>
    <w:uiPriority w:val="29"/>
    <w:rsid w:val="0081231D"/>
    <w:rPr>
      <w:i/>
      <w:iCs/>
      <w:color w:val="404040" w:themeColor="text1" w:themeTint="BF"/>
    </w:rPr>
  </w:style>
  <w:style w:type="paragraph" w:styleId="ListParagraph">
    <w:name w:val="List Paragraph"/>
    <w:basedOn w:val="Normal"/>
    <w:uiPriority w:val="34"/>
    <w:qFormat/>
    <w:rsid w:val="0081231D"/>
    <w:pPr>
      <w:ind w:left="720"/>
      <w:contextualSpacing/>
    </w:pPr>
  </w:style>
  <w:style w:type="character" w:styleId="IntenseEmphasis">
    <w:name w:val="Intense Emphasis"/>
    <w:basedOn w:val="DefaultParagraphFont"/>
    <w:uiPriority w:val="21"/>
    <w:qFormat/>
    <w:rsid w:val="0081231D"/>
    <w:rPr>
      <w:i/>
      <w:iCs/>
      <w:color w:val="0F4761" w:themeColor="accent1" w:themeShade="BF"/>
    </w:rPr>
  </w:style>
  <w:style w:type="paragraph" w:styleId="IntenseQuote">
    <w:name w:val="Intense Quote"/>
    <w:basedOn w:val="Normal"/>
    <w:next w:val="Normal"/>
    <w:link w:val="IntenseQuoteChar"/>
    <w:uiPriority w:val="30"/>
    <w:qFormat/>
    <w:rsid w:val="0081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31D"/>
    <w:rPr>
      <w:i/>
      <w:iCs/>
      <w:color w:val="0F4761" w:themeColor="accent1" w:themeShade="BF"/>
    </w:rPr>
  </w:style>
  <w:style w:type="character" w:styleId="IntenseReference">
    <w:name w:val="Intense Reference"/>
    <w:basedOn w:val="DefaultParagraphFont"/>
    <w:uiPriority w:val="32"/>
    <w:qFormat/>
    <w:rsid w:val="0081231D"/>
    <w:rPr>
      <w:b/>
      <w:bCs/>
      <w:smallCaps/>
      <w:color w:val="0F4761" w:themeColor="accent1" w:themeShade="BF"/>
      <w:spacing w:val="5"/>
    </w:rPr>
  </w:style>
  <w:style w:type="character" w:styleId="Hyperlink">
    <w:name w:val="Hyperlink"/>
    <w:basedOn w:val="DefaultParagraphFont"/>
    <w:uiPriority w:val="99"/>
    <w:unhideWhenUsed/>
    <w:rsid w:val="0081231D"/>
    <w:rPr>
      <w:color w:val="467886" w:themeColor="hyperlink"/>
      <w:u w:val="single"/>
    </w:rPr>
  </w:style>
  <w:style w:type="character" w:styleId="UnresolvedMention">
    <w:name w:val="Unresolved Mention"/>
    <w:basedOn w:val="DefaultParagraphFont"/>
    <w:uiPriority w:val="99"/>
    <w:semiHidden/>
    <w:unhideWhenUsed/>
    <w:rsid w:val="00812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8.08001v2" TargetMode="External"/><Relationship Id="rId13" Type="http://schemas.openxmlformats.org/officeDocument/2006/relationships/hyperlink" Target="https://www.federalreserve.gov/econres/feds/files/2025108pap.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ederalreserve.gov/econres/notes/feds-notes/using-generative-ai-models-to-understand-fomc-monetary-policy-discussions-20241206.html" TargetMode="External"/><Relationship Id="rId12" Type="http://schemas.openxmlformats.org/officeDocument/2006/relationships/hyperlink" Target="https://onlinelibrary.wiley.com/doi/10.1155/int/647254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atabricks.com/blog/efficient-fine-tuning-lora-guide-llms" TargetMode="External"/><Relationship Id="rId1" Type="http://schemas.openxmlformats.org/officeDocument/2006/relationships/numbering" Target="numbering.xml"/><Relationship Id="rId6" Type="http://schemas.openxmlformats.org/officeDocument/2006/relationships/hyperlink" Target="https://www.imf.org/-/media/files/publications/wp/2025/english/wpiea2025109-print-pdf.pdf" TargetMode="External"/><Relationship Id="rId11" Type="http://schemas.openxmlformats.org/officeDocument/2006/relationships/hyperlink" Target="https://arxiv.org/html/2406.12114v1" TargetMode="External"/><Relationship Id="rId5" Type="http://schemas.openxmlformats.org/officeDocument/2006/relationships/hyperlink" Target="https://www.bis.org/publ/work1294.pdf" TargetMode="External"/><Relationship Id="rId15" Type="http://schemas.openxmlformats.org/officeDocument/2006/relationships/hyperlink" Target="https://www.chicagofed.org/~/media/publications/economic-perspectives/2013/4q2013-part1-campbell-pdf.pdf" TargetMode="External"/><Relationship Id="rId10" Type="http://schemas.openxmlformats.org/officeDocument/2006/relationships/hyperlink" Target="https://dl.acm.org/doi/10.1145/3706119" TargetMode="External"/><Relationship Id="rId4" Type="http://schemas.openxmlformats.org/officeDocument/2006/relationships/webSettings" Target="webSettings.xml"/><Relationship Id="rId9" Type="http://schemas.openxmlformats.org/officeDocument/2006/relationships/hyperlink" Target="https://dl.acm.org/doi/fullHtml/10.1145/3604237.3626843" TargetMode="External"/><Relationship Id="rId14" Type="http://schemas.openxmlformats.org/officeDocument/2006/relationships/hyperlink" Target="https://proceedings.iclr.cc/paper_files/paper/2025/file/ea184f920a0f0f8d8030aa1bd7ac9fd4-Paper-Confere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1547</Words>
  <Characters>8818</Characters>
  <Application>Microsoft Office Word</Application>
  <DocSecurity>0</DocSecurity>
  <Lines>73</Lines>
  <Paragraphs>20</Paragraphs>
  <ScaleCrop>false</ScaleCrop>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bunford</dc:creator>
  <cp:keywords/>
  <dc:description/>
  <cp:lastModifiedBy>philip bunford</cp:lastModifiedBy>
  <cp:revision>1</cp:revision>
  <dcterms:created xsi:type="dcterms:W3CDTF">2026-05-07T22:06:00Z</dcterms:created>
  <dcterms:modified xsi:type="dcterms:W3CDTF">2026-05-07T22:06:00Z</dcterms:modified>
</cp:coreProperties>
</file>