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303" w:rsidRPr="00EF6D7D" w:rsidRDefault="00F13F75">
      <w:pPr>
        <w:jc w:val="center"/>
        <w:rPr>
          <w:rFonts w:ascii="Arial Black" w:hAnsi="Arial Black"/>
        </w:rPr>
      </w:pPr>
      <w:bookmarkStart w:id="0" w:name="_GoBack"/>
      <w:bookmarkEnd w:id="0"/>
      <w:r w:rsidRPr="00EF6D7D">
        <w:rPr>
          <w:rFonts w:ascii="Arial Black" w:hAnsi="Arial Black"/>
          <w:b/>
          <w:sz w:val="52"/>
        </w:rPr>
        <w:t>BASIC CARDIOVASCULAR DRUGS</w:t>
      </w:r>
    </w:p>
    <w:p w:rsidR="006A2303" w:rsidRPr="00EF6D7D" w:rsidRDefault="00F13F75">
      <w:pPr>
        <w:jc w:val="center"/>
        <w:rPr>
          <w:rFonts w:ascii="Arial Black" w:hAnsi="Arial Black"/>
        </w:rPr>
      </w:pPr>
      <w:r w:rsidRPr="00EF6D7D">
        <w:rPr>
          <w:rFonts w:ascii="Arial Black" w:hAnsi="Arial Black"/>
          <w:b/>
          <w:sz w:val="28"/>
        </w:rPr>
        <w:t>Dosage • Prescription • Administration • Storage • Expiry</w:t>
      </w:r>
    </w:p>
    <w:p w:rsidR="006A2303" w:rsidRPr="00EF6D7D" w:rsidRDefault="00F13F75">
      <w:pPr>
        <w:jc w:val="center"/>
        <w:rPr>
          <w:rFonts w:ascii="Arial Black" w:hAnsi="Arial Black"/>
        </w:rPr>
      </w:pPr>
      <w:r w:rsidRPr="00EF6D7D">
        <w:rPr>
          <w:rFonts w:ascii="Arial Black" w:hAnsi="Arial Black"/>
          <w:i/>
        </w:rPr>
        <w:t>An educational quick-reference for pharmacy and healthcare students</w:t>
      </w:r>
    </w:p>
    <w:p w:rsidR="006A2303" w:rsidRPr="00EF6D7D" w:rsidRDefault="006A2303">
      <w:pPr>
        <w:rPr>
          <w:rFonts w:ascii="Arial Black" w:hAnsi="Arial Black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A2303" w:rsidRPr="00EF6D7D">
        <w:trPr>
          <w:jc w:val="center"/>
        </w:trPr>
        <w:tc>
          <w:tcPr>
            <w:tcW w:w="5256" w:type="dxa"/>
            <w:shd w:val="clear" w:color="auto" w:fill="EAF3F8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</w:rPr>
              <w:t>Scope</w:t>
            </w:r>
          </w:p>
        </w:tc>
        <w:tc>
          <w:tcPr>
            <w:tcW w:w="5256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</w:rPr>
              <w:t>Common adult cardiovascular medicines used for hypertension, angina, heart failure, thrombosis and dyslipidaemia.</w:t>
            </w:r>
          </w:p>
        </w:tc>
      </w:tr>
      <w:tr w:rsidR="006A2303" w:rsidRPr="00EF6D7D">
        <w:trPr>
          <w:jc w:val="center"/>
        </w:trPr>
        <w:tc>
          <w:tcPr>
            <w:tcW w:w="5256" w:type="dxa"/>
            <w:shd w:val="clear" w:color="auto" w:fill="EAF3F8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</w:rPr>
              <w:t>Important</w:t>
            </w:r>
          </w:p>
        </w:tc>
        <w:tc>
          <w:tcPr>
            <w:tcW w:w="5256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</w:rPr>
              <w:t>Doses below are typical adult examples, not individual prescriptions. Actual treatment depends on diagnosis, BP/HR, renal/hepatic function, age, interactions and local guidelines.</w:t>
            </w:r>
          </w:p>
        </w:tc>
      </w:tr>
      <w:tr w:rsidR="006A2303" w:rsidRPr="00EF6D7D">
        <w:trPr>
          <w:jc w:val="center"/>
        </w:trPr>
        <w:tc>
          <w:tcPr>
            <w:tcW w:w="5256" w:type="dxa"/>
            <w:shd w:val="clear" w:color="auto" w:fill="EAF3F8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</w:rPr>
              <w:t>Safety</w:t>
            </w:r>
          </w:p>
        </w:tc>
        <w:tc>
          <w:tcPr>
            <w:tcW w:w="5256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</w:rPr>
              <w:t>Prescription cardiovascular medicines should be supplied and monitored by an authorised healthcare professional.</w:t>
            </w:r>
          </w:p>
        </w:tc>
      </w:tr>
    </w:tbl>
    <w:p w:rsidR="006A2303" w:rsidRPr="00EF6D7D" w:rsidRDefault="006A2303">
      <w:pPr>
        <w:rPr>
          <w:rFonts w:ascii="Arial Black" w:hAnsi="Arial Black"/>
        </w:rPr>
      </w:pPr>
    </w:p>
    <w:p w:rsidR="006A2303" w:rsidRPr="00EF6D7D" w:rsidRDefault="00F13F75">
      <w:pPr>
        <w:spacing w:after="80"/>
        <w:rPr>
          <w:rFonts w:ascii="Arial Black" w:hAnsi="Arial Black"/>
        </w:rPr>
      </w:pPr>
      <w:r w:rsidRPr="00EF6D7D">
        <w:rPr>
          <w:rFonts w:ascii="Arial Black" w:hAnsi="Arial Black"/>
          <w:b/>
        </w:rPr>
        <w:t>Clinical foundation</w:t>
      </w:r>
    </w:p>
    <w:p w:rsidR="006A2303" w:rsidRPr="00EF6D7D" w:rsidRDefault="00F13F75">
      <w:pPr>
        <w:spacing w:after="80"/>
        <w:rPr>
          <w:rFonts w:ascii="Arial Black" w:hAnsi="Arial Black"/>
        </w:rPr>
      </w:pPr>
      <w:r w:rsidRPr="00EF6D7D">
        <w:rPr>
          <w:rFonts w:ascii="Arial Black" w:hAnsi="Arial Black"/>
        </w:rPr>
        <w:t>WHO identifies major cardiovascular medicines such as diuretics, ACE inhibitors, beta-blockers, calcium-channel blockers and statins among basic medicines used in cardiovascular care. Treatment selection should follow clinical assessment and applicable national/WHO guidance.</w:t>
      </w:r>
    </w:p>
    <w:p w:rsidR="006A2303" w:rsidRPr="00EF6D7D" w:rsidRDefault="00F13F75">
      <w:pPr>
        <w:rPr>
          <w:rFonts w:ascii="Arial Black" w:hAnsi="Arial Black"/>
        </w:rPr>
      </w:pPr>
      <w:r w:rsidRPr="00EF6D7D">
        <w:rPr>
          <w:rFonts w:ascii="Arial Black" w:hAnsi="Arial Black"/>
        </w:rPr>
        <w:br w:type="page"/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t>1. Key Principles of Cardiovascular Medicines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Do not start, stop, double or change a cardiovascular medicine without professional advice. Some medicines can cause dangerous rebound effects or deterioration when stopped suddenly.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Prescription status varies by country and product. In Uganda, dispensing should follow applicable national medicines regulation and the prescriber's order.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Always verify the generic name, strength, dosage form, route, directions, quantity, prescriber details and patient information before dispensing.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Storage instructions on the product label/manufacturer's package take priority over a generic storage recommendation.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An expiry date means the manufacturer has established stability only through that date under specified storage conditions. Do not use medicines after expiry.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Keep medicines in their original labelled containers, protected from heat, moisture and direct sunlight unless the label specifies otherwise.</w:t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2. Common Cardiovascular Drug Classes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1906"/>
        <w:gridCol w:w="3354"/>
        <w:gridCol w:w="2079"/>
        <w:gridCol w:w="1749"/>
      </w:tblGrid>
      <w:tr w:rsidR="006A2303" w:rsidRPr="00EF6D7D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Class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Examples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Main uses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Prescription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Key safety point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ACE inhibitors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Enalapril, Lisinopril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Hypertension; heart failure; cardiovascular/renal protection in selected patients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Monitor BP, renal function and potassium; cough/angioedema can occur.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ARBs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Losartan, Valsartan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Hypertension; heart failure; alternative when ACE-inhibitor cough occurs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Monitor BP, renal function and potassium.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Calcium-channel blockers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Amlodipine, Nifedipine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Hypertension; angina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Monitor BP; ankle oedema and flushing may occur.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Thiazide/thiazide-like diuretics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Hydrochlorothiazide, Indapamide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Hypertension; fluid control in selected patients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Monitor electrolytes, renal function and BP.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Loop diuretics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Furosemide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Oedema/heart failure; fluid overload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Monitor fluid status, BP, electrolytes and renal function.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Beta-blockers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Bisoprolol, Metoprolol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Selected hypertension/angina/arrhythmias/heart failure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Check pulse/BP; do not stop abruptly.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Nitrates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Glyceryl trinitrate (nitroglycerin)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Rapid relief/prevention of angina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Prescription/controlled according to product and jurisdiction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Never combine with PDE-5 inhibitors such as sildenafil because of potentially severe hypotension.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Antiplatelets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Aspirin, Clopidogrel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Prevention of arterial thrombosis in selected patients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 for many indications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Bleeding risk; aspirin is not appropriate for everyone.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Anticoagulants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Warfarin, Apixaban, Rivaroxaban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Prevention/treatment of selected venous or cardioembolic thrombosis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Bleeding risk; interactions and monitoring requirements vary.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Statins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Atorvastatin, Simvastatin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Reduction of LDL cholesterol and cardiovascular risk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 xml:space="preserve">Monitor for muscle symptoms and clinically </w:t>
            </w:r>
            <w:r w:rsidRPr="00EF6D7D">
              <w:rPr>
                <w:rFonts w:ascii="Arial Black" w:hAnsi="Arial Black"/>
                <w:sz w:val="15"/>
              </w:rPr>
              <w:lastRenderedPageBreak/>
              <w:t>indicated laboratory tests.</w:t>
            </w:r>
          </w:p>
        </w:tc>
      </w:tr>
    </w:tbl>
    <w:p w:rsidR="006A2303" w:rsidRPr="00EF6D7D" w:rsidRDefault="00F13F75">
      <w:pPr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br w:type="page"/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t>3. Typical Adult Dose &amp; Administration Reference</w:t>
      </w:r>
    </w:p>
    <w:p w:rsidR="006A2303" w:rsidRPr="00EF6D7D" w:rsidRDefault="00F13F75">
      <w:pPr>
        <w:spacing w:after="120"/>
        <w:rPr>
          <w:rFonts w:ascii="Arial Black" w:hAnsi="Arial Black"/>
        </w:rPr>
      </w:pPr>
      <w:r w:rsidRPr="00EF6D7D">
        <w:rPr>
          <w:rFonts w:ascii="Arial Black" w:hAnsi="Arial Black"/>
        </w:rPr>
        <w:t>The following are common starting/maintenance examples for educational purposes. They are NOT universal prescriptions. The exact dose must be selected for the individual patient.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6A2303" w:rsidRPr="00EF6D7D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Medicine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Typical adult dose*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How to take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Prescription</w:t>
            </w:r>
          </w:p>
        </w:tc>
        <w:tc>
          <w:tcPr>
            <w:tcW w:w="2102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Storage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Amlodipine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5 mg once daily; may be increased to 10 mg once daily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Swallow with water; with or without food.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Usually 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Room temperature; protect from excessive heat/moisture.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Enalapril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Hypertension: commonly 5 mg once daily initially; titrated by clinician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With or without food; take consistently.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in original container at labelled conditions.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Losartan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Hypertension: commonly 50 mg once daily; may be adjusted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With or without food.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in original container; protect from moisture.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Hydrochlorothiazide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Commonly 12.5–25 mg once daily for hypertension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Usually in the morning to reduce nocturia.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Keep dry; follow package storage conditions.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Furosemide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Dose varies widely; often 20–40 mg initially for oedema, then individualized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Usually morning; second dose, if prescribed, earlier in day.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Keep dry; monitor fluid/electrolytes.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Bisoprolol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Heart failure: often started very low and titrated; hypertension/angina doses commonly 5–10 mg once daily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Take at same time daily; do not stop abruptly.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Room temperature; follow label.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Glyceryl trinitrate SL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For acute angina: commonly 0.3–0.6 mg under tongue per product instructions; repeat only as directed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Sit down; place under tongue; do not swallow. Seek urgent help if chest pain persists as instructed by emergency guidance.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Prescription/varies by product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Protect from heat/light; keep container tightly closed; follow product-specific instructions.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Aspirin (secondary prevention)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Commonly 75–100 mg once daily when specifically indicated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Take with water; food may reduce stomach irritation.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Prescription/varies by indication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dry; do not use after expiry.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Clopidogrel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Commonly 75 mg once daily for selected indications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With or without food; take consistently.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in original pack.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Warfarin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Highly individualized; dose determined by INR and indication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Same time each day; consistent vitamin-K intake; regular INR monitoring.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at room temperature in original container.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Apixaban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Commonly 5 mg twice daily for many adult indications; dose may be reduced for specific patients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With or without food; doses should be evenly spaced.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at labelled room-temperature conditions.</w:t>
            </w:r>
          </w:p>
        </w:tc>
      </w:tr>
      <w:tr w:rsidR="006A2303" w:rsidRPr="00EF6D7D">
        <w:trPr>
          <w:jc w:val="center"/>
        </w:trPr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Atorvastatin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Commonly 10–20 mg once daily initially, titrated according to risk/response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With or without food; usually once daily.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Prescription</w:t>
            </w:r>
          </w:p>
        </w:tc>
        <w:tc>
          <w:tcPr>
            <w:tcW w:w="2102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Store in original container; protect from excessive heat/moisture.</w:t>
            </w:r>
          </w:p>
        </w:tc>
      </w:tr>
    </w:tbl>
    <w:p w:rsidR="006A2303" w:rsidRPr="00EF6D7D" w:rsidRDefault="00F13F75">
      <w:pPr>
        <w:pStyle w:val="Caption"/>
        <w:rPr>
          <w:rFonts w:ascii="Arial Black" w:hAnsi="Arial Black"/>
        </w:rPr>
      </w:pPr>
      <w:r w:rsidRPr="00EF6D7D">
        <w:rPr>
          <w:rFonts w:ascii="Arial Black" w:hAnsi="Arial Black"/>
        </w:rPr>
        <w:t>*Dose examples are educational only and do not replace the product label, treatment guideline or patient-specific prescription.</w:t>
      </w:r>
    </w:p>
    <w:p w:rsidR="006A2303" w:rsidRPr="00EF6D7D" w:rsidRDefault="00F13F75">
      <w:pPr>
        <w:rPr>
          <w:rFonts w:ascii="Arial Black" w:hAnsi="Arial Black"/>
        </w:rPr>
      </w:pPr>
      <w:r w:rsidRPr="00EF6D7D">
        <w:rPr>
          <w:rFonts w:ascii="Arial Black" w:hAnsi="Arial Black"/>
        </w:rPr>
        <w:br w:type="page"/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t>4. Prescription and Dispensing Checklist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Confirm the patient's identity and clinical indication.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Check the medicine name, strength, dosage form, route, dose, frequency, duration and quantity.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Check allergies, pregnancy status where relevant, kidney/liver function, blood pressure/pulse and clinically important interactions.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Review other medicines, including OTC medicines and herbal products.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Explain the purpose of the medicine and exactly how and when to take it.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Explain common important adverse effects and which symptoms require urgent medical attention.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Confirm the patient understands what to do if a dose is missed; do not routinely double the next dose.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Document dispensing and provide appropriate follow-up/monitoring instructions.</w:t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5. Storage of Cardiovascular Medicines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A2303" w:rsidRPr="00EF6D7D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Product type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Storage principle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Practical advice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Tablets/capsules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Usually at controlled room temperature as stated on label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Keep dry; avoid bathrooms, direct sunlight and excessive heat.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Nitroglycerin/GTN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Product-specific; many formulations require protection from heat/light and tightly closed packaging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Keep in original container and follow manufacturer's instructions exactly.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Liquid medicines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Product-specific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Check label after opening; some liquids have shorter in-use stability.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Refrigerated products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Only when the label specifically requires it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Do not freeze unless explicitly permitted.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All medicines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Follow labelled storage conditions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Keep out of children's reach; do not transfer to unlabelled containers.</w:t>
            </w:r>
          </w:p>
        </w:tc>
      </w:tr>
    </w:tbl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6. Expiry Dates: What Patients and Students Must Know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EXP 06/2027 generally means the product should be used through the end of June 2027, unless the manufacturer states a different convention.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Do not use an expired medicine. Expiration dating reflects the period for which the product is known to retain required strength, quality and purity under specified storage conditions.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Heat, humidity, light and poor storage can reduce medicine stability even before the printed expiry date.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Never guess an expiry date for a loose tablet removed from its original labelled package.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Return expired or unwanted medicines to a pharmacy or approved medicine-disposal service where available; do not keep them for future use.</w:t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7. How Patients Should Take Cardiovascular Medicines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Take the medicine exactly as prescribed and at the same time each day when possible.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Use water unless the medicine label or pharmacist gives different instructions.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Do not share medicines with another person, even if they have similar symptoms.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Do not stop antihypertensives, beta-blockers, anticoagulants or other long-term cardiovascular medicines abruptly unless directed by a healthcare professional.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If a dose is missed, follow the product-specific leaflet or pharmacist's instructions; avoid automatically taking a double dose.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Maintain scheduled blood-pressure, pulse, kidney-function, electrolyte, lipid or INR monitoring when required.</w:t>
      </w:r>
    </w:p>
    <w:p w:rsidR="006A2303" w:rsidRPr="00EF6D7D" w:rsidRDefault="00F13F75">
      <w:pPr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br w:type="page"/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lastRenderedPageBreak/>
        <w:t>8. Important Interactions &amp; Red Flags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A2303" w:rsidRPr="00EF6D7D">
        <w:trPr>
          <w:jc w:val="center"/>
        </w:trPr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Combination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Potential concern</w:t>
            </w:r>
          </w:p>
        </w:tc>
        <w:tc>
          <w:tcPr>
            <w:tcW w:w="3504" w:type="dxa"/>
            <w:shd w:val="clear" w:color="auto" w:fill="D9EAF7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b/>
                <w:sz w:val="16"/>
              </w:rPr>
              <w:t>Action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ACE inhibitor/ARB + potassium-raising medicines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May increase potassium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Seek pharmacist/clinician review; monitoring may be required.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Nitrate + sildenafil/tadalafil or similar PDE-5 inhibitor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Can cause severe hypotension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Do NOT combine; seek urgent professional advice.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Anticoagulant + NSAID/other bleeding-risk medicines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May increase bleeding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Check with pharmacist/clinician before use.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Beta-blocker + other medicines lowering heart rate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May cause excessive bradycardia/hypotension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Requires professional review.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Diuretic + dehydration/other electrolyte-altering drugs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May disturb electrolytes and renal function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Maintain monitoring and follow clinician advice.</w:t>
            </w:r>
          </w:p>
        </w:tc>
      </w:tr>
      <w:tr w:rsidR="006A2303" w:rsidRPr="00EF6D7D">
        <w:trPr>
          <w:jc w:val="center"/>
        </w:trPr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Statin + certain interacting medicines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Can increase statin toxicity/myopathy risk</w:t>
            </w:r>
          </w:p>
        </w:tc>
        <w:tc>
          <w:tcPr>
            <w:tcW w:w="3504" w:type="dxa"/>
            <w:vAlign w:val="center"/>
          </w:tcPr>
          <w:p w:rsidR="006A2303" w:rsidRPr="00EF6D7D" w:rsidRDefault="00F13F75">
            <w:pPr>
              <w:rPr>
                <w:rFonts w:ascii="Arial Black" w:hAnsi="Arial Black"/>
              </w:rPr>
            </w:pPr>
            <w:r w:rsidRPr="00EF6D7D">
              <w:rPr>
                <w:rFonts w:ascii="Arial Black" w:hAnsi="Arial Black"/>
                <w:sz w:val="15"/>
              </w:rPr>
              <w:t>Check interactions before adding medicines.</w:t>
            </w:r>
          </w:p>
        </w:tc>
      </w:tr>
    </w:tbl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9. When to Seek Urgent Medical Care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Severe or new chest pain, especially with sweating, shortness of breath, nausea, fainting or pain spreading to the arm/jaw/back.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Sudden weakness/numbness on one side, facial drooping, difficulty speaking or sudden severe confusion—possible stroke.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Severe difficulty breathing, collapse or loss of consciousness.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Major bleeding, vomiting blood, coughing blood, black/tarry stools or severe unexplained bruising while taking antithrombotic medicines.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Severe swelling of the lips, tongue or throat after an ACE inhibitor or another medicine.</w:t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10. Patient Counselling Points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Know the generic name, strength, purpose and dosing schedule of every cardiovascular medicine you take.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Keep an updated medicine list and show it to every healthcare professional.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Check the expiry date and storage conditions before use.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Keep medicines in original labelled packaging where possible.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Lifestyle measures remain important: reduce excess salt, be physically active as medically appropriate, avoid tobacco, maintain a healthy weight and follow a heart-healthy diet.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Never use someone else's blood-pressure, heart or blood-thinning medicine.</w:t>
      </w:r>
    </w:p>
    <w:p w:rsidR="006A2303" w:rsidRPr="00EF6D7D" w:rsidRDefault="00F13F75">
      <w:pPr>
        <w:pStyle w:val="Heading1"/>
        <w:rPr>
          <w:rFonts w:ascii="Arial Black" w:hAnsi="Arial Black"/>
        </w:rPr>
      </w:pPr>
      <w:r w:rsidRPr="00EF6D7D">
        <w:rPr>
          <w:rFonts w:ascii="Arial Black" w:hAnsi="Arial Black"/>
        </w:rPr>
        <w:t>11. Selected References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World Health Organization. Guideline for the pharmacological treatment of hypertension in adults (2021/2022).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World Health Organization. Cardiovascular diseases (CVDs) fact sheet.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U.S. Food and Drug Administration. Expiration Dates – Questions and Answers.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U.S. Food and Drug Administration. Think It Through: Managing the Benefits and Risks of Medicines.</w:t>
      </w:r>
    </w:p>
    <w:p w:rsidR="006A2303" w:rsidRPr="00EF6D7D" w:rsidRDefault="00F13F75">
      <w:pPr>
        <w:pStyle w:val="ListBullet"/>
        <w:spacing w:after="20"/>
        <w:rPr>
          <w:rFonts w:ascii="Arial Black" w:hAnsi="Arial Black"/>
        </w:rPr>
      </w:pPr>
      <w:r w:rsidRPr="00EF6D7D">
        <w:rPr>
          <w:rFonts w:ascii="Arial Black" w:hAnsi="Arial Black"/>
        </w:rPr>
        <w:t>Always consult the current product Summary of Product Characteristics/package insert and applicable Ugandan/national treatment guidelines before prescribing or dispensing.</w:t>
      </w:r>
    </w:p>
    <w:p w:rsidR="006A2303" w:rsidRPr="00EF6D7D" w:rsidRDefault="00F13F75">
      <w:pPr>
        <w:jc w:val="center"/>
        <w:rPr>
          <w:rFonts w:ascii="Arial Black" w:hAnsi="Arial Black"/>
        </w:rPr>
      </w:pPr>
      <w:r w:rsidRPr="00EF6D7D">
        <w:rPr>
          <w:rFonts w:ascii="Arial Black" w:hAnsi="Arial Black"/>
          <w:b/>
          <w:sz w:val="20"/>
        </w:rPr>
        <w:t>EDUCATIONAL USE ONLY • NOT A SUBSTITUTE FOR A PATIENT-SPECIFIC PRESCRIPTION</w:t>
      </w:r>
    </w:p>
    <w:sectPr w:rsidR="006A2303" w:rsidRPr="00EF6D7D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64FB" w:rsidRDefault="002664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664FB" w:rsidRDefault="002664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2303" w:rsidRDefault="00F13F75">
    <w:pPr>
      <w:pStyle w:val="Footer"/>
      <w:jc w:val="center"/>
      <w:rPr>
        <w:rFonts w:hint="eastAsia"/>
      </w:rPr>
    </w:pPr>
    <w:r>
      <w:rPr>
        <w:sz w:val="16"/>
      </w:rPr>
      <w:t>Basic Cardiovascular Drugs Guide | Pharmacy Education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64FB" w:rsidRDefault="002664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664FB" w:rsidRDefault="002664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64FB"/>
    <w:rsid w:val="0029639D"/>
    <w:rsid w:val="00326F90"/>
    <w:rsid w:val="004A2D3B"/>
    <w:rsid w:val="006A2303"/>
    <w:rsid w:val="00AA1D8D"/>
    <w:rsid w:val="00B47730"/>
    <w:rsid w:val="00CB0664"/>
    <w:rsid w:val="00EF6D7D"/>
    <w:rsid w:val="00F13F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F634977-5E7C-4C66-8F56-EEFAA2EBB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4DE2B3-E6B1-4F8D-A802-57B51B46E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PHARM.DEVIS N</cp:lastModifiedBy>
  <cp:revision>2</cp:revision>
  <dcterms:created xsi:type="dcterms:W3CDTF">2026-10-04T07:59:00Z</dcterms:created>
  <dcterms:modified xsi:type="dcterms:W3CDTF">2026-10-04T07:59:00Z</dcterms:modified>
  <cp:category/>
</cp:coreProperties>
</file>