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jc w:val="left"/>
      </w:pPr>
      <w:r>
        <w:rPr>
          <w:rFonts w:ascii="Helvetica Neue" w:eastAsia="Yu Gothic" w:hAnsi="Helvetica Neue"/>
          <w:b/>
          <w:bCs/>
          <w:i w:val="false"/>
          <w:iCs w:val="false"/>
          <w:caps w:val="false"/>
          <w:color w:val="111111"/>
          <w:spacing w:val="160"/>
          <w:sz w:val="20"/>
          <w:szCs w:val="20"/>
        </w:rPr>
        <w:t xml:space="preserve">PHOSARA</w:t>
      </w:r>
    </w:p>
    <w:p>
      <w:pPr>
        <w:pBdr>
          <w:bottom w:val="single" w:color="111111" w:sz="8" w:space="8"/>
        </w:pBdr>
        <w:spacing w:after="0" w:before="0"/>
        <w:jc w:val="left"/>
      </w:pPr>
      <w:r>
        <w:rPr>
          <w:rFonts w:ascii="Helvetica Neue" w:eastAsia="Yu Gothic" w:hAnsi="Helvetica Neue"/>
          <w:b w:val="false"/>
          <w:bCs w:val="false"/>
          <w:i w:val="false"/>
          <w:iCs w:val="false"/>
          <w:caps/>
          <w:color w:val="5E5E5E"/>
          <w:spacing w:val="120"/>
          <w:sz w:val="15"/>
          <w:szCs w:val="15"/>
        </w:rPr>
        <w:t xml:space="preserve">BRAND IDENTITY GUIDELINES</w:t>
      </w:r>
    </w:p>
    <w:p>
      <w:pPr>
        <w:spacing w:after="900" w:before="0"/>
      </w:pPr>
      <w:r>
        <w:rPr>
          <w:rFonts w:ascii="Helvetica Neue" w:eastAsia="Yu Gothic" w:hAnsi="Helvetica Neue"/>
          <w:b w:val="false"/>
          <w:bCs w:val="false"/>
          <w:i w:val="false"/>
          <w:iCs w:val="false"/>
          <w:caps w:val="false"/>
          <w:color w:val="111111"/>
          <w:sz w:val="2"/>
          <w:szCs w:val="2"/>
        </w:rPr>
        <w:t xml:space="preserve"/>
      </w:r>
    </w:p>
    <w:p>
      <w:pPr>
        <w:spacing w:after="40" w:before="80"/>
        <w:jc w:val="center"/>
      </w:pPr>
      <w:r>
        <w:drawing>
          <wp:inline distT="0" distB="0" distL="0" distR="0">
            <wp:extent cx="2190750" cy="2362200"/>
            <wp:effectExtent t="0" r="0" b="0" l="0"/>
            <wp:docPr id="1" name="phosara" descr="PHOSARA brand asset" title="PHOS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190750" cy="2362200"/>
                    </a:xfrm>
                    <a:prstGeom prst="rect">
                      <a:avLst/>
                    </a:prstGeom>
                  </pic:spPr>
                </pic:pic>
              </a:graphicData>
            </a:graphic>
          </wp:inline>
        </w:drawing>
      </w:r>
    </w:p>
    <w:p>
      <w:pPr>
        <w:spacing w:after="120" w:before="0"/>
      </w:pPr>
      <w:r>
        <w:rPr>
          <w:rFonts w:ascii="Helvetica Neue" w:eastAsia="Yu Gothic" w:hAnsi="Helvetica Neue"/>
          <w:b w:val="false"/>
          <w:bCs w:val="false"/>
          <w:i w:val="false"/>
          <w:iCs w:val="false"/>
          <w:caps w:val="false"/>
          <w:color w:val="111111"/>
          <w:sz w:val="2"/>
          <w:szCs w:val="2"/>
        </w:rPr>
        <w:t xml:space="preserve"/>
      </w:r>
    </w:p>
    <w:p>
      <w:pPr>
        <w:spacing w:after="0"/>
        <w:jc w:val="center"/>
      </w:pPr>
      <w:r>
        <w:rPr>
          <w:rFonts w:ascii="Helvetica Neue" w:eastAsia="Yu Gothic" w:hAnsi="Helvetica Neue"/>
          <w:b/>
          <w:bCs/>
          <w:i w:val="false"/>
          <w:iCs w:val="false"/>
          <w:caps w:val="false"/>
          <w:color w:val="111111"/>
          <w:spacing w:val="60"/>
          <w:sz w:val="86"/>
          <w:szCs w:val="86"/>
        </w:rPr>
        <w:t xml:space="preserve">PHOSARA</w:t>
      </w:r>
    </w:p>
    <w:p>
      <w:pPr>
        <w:spacing w:after="0" w:before="40"/>
        <w:jc w:val="center"/>
      </w:pPr>
      <w:r>
        <w:rPr>
          <w:rFonts w:ascii="Helvetica Neue" w:eastAsia="Yu Gothic" w:hAnsi="Helvetica Neue"/>
          <w:b w:val="false"/>
          <w:bCs w:val="false"/>
          <w:i/>
          <w:iCs/>
          <w:caps w:val="false"/>
          <w:color w:val="5E5E5E"/>
          <w:sz w:val="26"/>
          <w:szCs w:val="26"/>
        </w:rPr>
        <w:t xml:space="preserve">Beyond the Boundary.</w:t>
      </w:r>
    </w:p>
    <w:p>
      <w:pPr>
        <w:spacing w:after="0" w:before="40"/>
        <w:jc w:val="center"/>
      </w:pPr>
      <w:r>
        <w:rPr>
          <w:rFonts w:ascii="Helvetica Neue" w:eastAsia="Yu Gothic" w:hAnsi="Helvetica Neue"/>
          <w:b w:val="false"/>
          <w:bCs w:val="false"/>
          <w:i w:val="false"/>
          <w:iCs w:val="false"/>
          <w:caps w:val="false"/>
          <w:color w:val="111111"/>
          <w:spacing w:val="40"/>
          <w:sz w:val="26"/>
          <w:szCs w:val="26"/>
        </w:rPr>
        <w:t xml:space="preserve">光を、境界の先へ。</w:t>
      </w:r>
    </w:p>
    <w:p>
      <w:pPr>
        <w:spacing w:after="1000" w:before="0"/>
      </w:pPr>
      <w:r>
        <w:rPr>
          <w:rFonts w:ascii="Helvetica Neue" w:eastAsia="Yu Gothic" w:hAnsi="Helvetica Neue"/>
          <w:b w:val="false"/>
          <w:bCs w:val="false"/>
          <w:i w:val="false"/>
          <w:iCs w:val="false"/>
          <w:caps w:val="false"/>
          <w:color w:val="111111"/>
          <w:sz w:val="2"/>
          <w:szCs w:val="2"/>
        </w:rPr>
        <w:t xml:space="preserve"/>
      </w:r>
    </w:p>
    <w:p>
      <w:pPr>
        <w:spacing w:after="0"/>
        <w:jc w:val="center"/>
      </w:pPr>
      <w:r>
        <w:rPr>
          <w:rFonts w:ascii="Helvetica Neue" w:eastAsia="Yu Gothic" w:hAnsi="Helvetica Neue"/>
          <w:b/>
          <w:bCs/>
          <w:i w:val="false"/>
          <w:iCs w:val="false"/>
          <w:caps/>
          <w:color w:val="D91E18"/>
          <w:spacing w:val="200"/>
          <w:sz w:val="22"/>
          <w:szCs w:val="22"/>
        </w:rPr>
        <w:t xml:space="preserve">BRAND BOOK</w:t>
      </w:r>
    </w:p>
    <w:p>
      <w:pPr>
        <w:spacing w:after="0" w:before="60"/>
        <w:jc w:val="center"/>
      </w:pPr>
      <w:r>
        <w:rPr>
          <w:rFonts w:ascii="Helvetica Neue" w:eastAsia="Yu Gothic" w:hAnsi="Helvetica Neue"/>
          <w:b w:val="false"/>
          <w:bCs w:val="false"/>
          <w:i w:val="false"/>
          <w:iCs w:val="false"/>
          <w:caps w:val="false"/>
          <w:color w:val="5E5E5E"/>
          <w:spacing w:val="40"/>
          <w:sz w:val="18"/>
          <w:szCs w:val="18"/>
        </w:rPr>
        <w:t xml:space="preserve">コーポレート・アイデンティティ・マニュアル</w:t>
      </w:r>
    </w:p>
    <w:p>
      <w:pPr>
        <w:spacing w:after="500" w:before="0"/>
      </w:pPr>
      <w:r>
        <w:rPr>
          <w:rFonts w:ascii="Helvetica Neue" w:eastAsia="Yu Gothic" w:hAnsi="Helvetica Neue"/>
          <w:b w:val="false"/>
          <w:bCs w:val="false"/>
          <w:i w:val="false"/>
          <w:iCs w:val="false"/>
          <w:caps w:val="false"/>
          <w:color w:val="111111"/>
          <w:sz w:val="2"/>
          <w:szCs w:val="2"/>
        </w:rPr>
        <w:t xml:space="preserve"/>
      </w:r>
    </w:p>
    <w:p>
      <w:pPr>
        <w:spacing w:after="0"/>
        <w:jc w:val="center"/>
      </w:pPr>
      <w:r>
        <w:rPr>
          <w:rFonts w:ascii="Helvetica Neue" w:eastAsia="Yu Gothic" w:hAnsi="Helvetica Neue"/>
          <w:b w:val="false"/>
          <w:bCs w:val="false"/>
          <w:i w:val="false"/>
          <w:iCs w:val="false"/>
          <w:caps w:val="false"/>
          <w:color w:val="9A958C"/>
          <w:sz w:val="16"/>
          <w:szCs w:val="16"/>
        </w:rPr>
        <w:t xml:space="preserve">Version 1.1  —  光学調整版</w:t>
      </w:r>
    </w:p>
    <w:p>
      <w:pPr>
        <w:spacing w:after="0" w:before="20"/>
        <w:jc w:val="center"/>
      </w:pPr>
      <w:r>
        <w:rPr>
          <w:rFonts w:ascii="Helvetica Neue" w:eastAsia="Yu Gothic" w:hAnsi="Helvetica Neue"/>
          <w:b w:val="false"/>
          <w:bCs w:val="false"/>
          <w:i w:val="false"/>
          <w:iCs w:val="false"/>
          <w:caps w:val="false"/>
          <w:color w:val="9A958C"/>
          <w:sz w:val="14"/>
          <w:szCs w:val="14"/>
        </w:rPr>
        <w:t xml:space="preserve">Issued 2026  /  CONFIDENTIAL  /  本書はPHOSARAブランド管理規程に基づき管理される</w:t>
      </w:r>
    </w:p>
    <w:p>
      <w:pPr>
        <w:pageBreakBefore/>
        <w:spacing w:after="60" w:before="200"/>
      </w:pPr>
      <w:r>
        <w:rPr>
          <w:rFonts w:ascii="Helvetica Neue" w:eastAsia="Yu Gothic" w:hAnsi="Helvetica Neue"/>
          <w:b/>
          <w:bCs/>
          <w:i w:val="false"/>
          <w:iCs w:val="false"/>
          <w:caps w:val="false"/>
          <w:color w:val="D91E18"/>
          <w:spacing w:val="60"/>
          <w:sz w:val="18"/>
          <w:szCs w:val="18"/>
        </w:rPr>
        <w:t xml:space="preserve">はじめに</w:t>
      </w:r>
    </w:p>
    <w:p>
      <w:pPr>
        <w:pStyle w:val="Heading1"/>
        <w:spacing w:after="160"/>
      </w:pPr>
      <w:r>
        <w:rPr>
          <w:rFonts w:ascii="Helvetica Neue" w:eastAsia="Yu Gothic" w:hAnsi="Helvetica Neue"/>
          <w:b/>
          <w:bCs/>
          <w:i w:val="false"/>
          <w:iCs w:val="false"/>
          <w:caps w:val="false"/>
          <w:color w:val="111111"/>
          <w:sz w:val="40"/>
          <w:szCs w:val="40"/>
        </w:rPr>
        <w:t xml:space="preserve">本書について</w:t>
      </w:r>
    </w:p>
    <w:p>
      <w:pPr>
        <w:spacing w:after="160" w:line="340" w:lineRule="auto"/>
      </w:pPr>
      <w:r>
        <w:rPr>
          <w:rFonts w:ascii="Helvetica Neue" w:eastAsia="Yu Gothic" w:hAnsi="Helvetica Neue"/>
          <w:b w:val="false"/>
          <w:bCs w:val="false"/>
          <w:i w:val="false"/>
          <w:iCs w:val="false"/>
          <w:caps w:val="false"/>
          <w:color w:val="111111"/>
          <w:sz w:val="24"/>
          <w:szCs w:val="24"/>
        </w:rPr>
        <w:t xml:space="preserve">本書は、PHOSARAというブランドを「誰が運用しても同じ品質で再現できる」状態に保つための、唯一の公式基準書である。</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は、デザイン、AIクリエイティブ、ブランディング、広告クリエイティブ、そしてパチンコ販促デザインという複数の事業領域を横断する。領域が広がるほど、ブランドは薄まりやすい。本書の目的は、その拡散を防ぎ、すべての接点で同一のブランド体験を成立させることにある。</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本書は「概念書」ではなく「運用書」である。理念の説明にとどまらず、数値・比率・チェックリスト・禁止事項といった、現場でそのまま判断に使える基準を定義する。判断に迷ったときは、本書に戻ることを原則とす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本書の使い方</w:t>
      </w:r>
    </w:p>
    <w:p>
      <w:pPr>
        <w:pStyle w:val="ListParagraph"/>
        <w:numPr>
          <w:ilvl w:val="0"/>
          <w:numId w:val="2"/>
        </w:numPr>
        <w:spacing w:after="70" w:line="300" w:lineRule="auto"/>
      </w:pPr>
      <w:r>
        <w:rPr>
          <w:rFonts w:ascii="Helvetica Neue" w:eastAsia="Yu Gothic" w:hAnsi="Helvetica Neue"/>
          <w:b/>
          <w:bCs/>
          <w:i w:val="false"/>
          <w:iCs w:val="false"/>
          <w:caps w:val="false"/>
          <w:color w:val="111111"/>
          <w:sz w:val="20"/>
          <w:szCs w:val="20"/>
        </w:rPr>
        <w:t xml:space="preserve">対象者: </w:t>
      </w:r>
      <w:r>
        <w:rPr>
          <w:rFonts w:ascii="Helvetica Neue" w:eastAsia="Yu Gothic" w:hAnsi="Helvetica Neue"/>
          <w:b w:val="false"/>
          <w:bCs w:val="false"/>
          <w:i w:val="false"/>
          <w:iCs w:val="false"/>
          <w:caps w:val="false"/>
          <w:color w:val="111111"/>
          <w:sz w:val="20"/>
          <w:szCs w:val="20"/>
        </w:rPr>
        <w:t xml:space="preserve">PHOSARAに関わるすべての制作者・運用者・協力会社・委託先（社内外を問わない）。</w:t>
      </w:r>
    </w:p>
    <w:p>
      <w:pPr>
        <w:pStyle w:val="ListParagraph"/>
        <w:numPr>
          <w:ilvl w:val="0"/>
          <w:numId w:val="2"/>
        </w:numPr>
        <w:spacing w:after="70" w:line="300" w:lineRule="auto"/>
      </w:pPr>
      <w:r>
        <w:rPr>
          <w:rFonts w:ascii="Helvetica Neue" w:eastAsia="Yu Gothic" w:hAnsi="Helvetica Neue"/>
          <w:b/>
          <w:bCs/>
          <w:i w:val="false"/>
          <w:iCs w:val="false"/>
          <w:caps w:val="false"/>
          <w:color w:val="111111"/>
          <w:sz w:val="20"/>
          <w:szCs w:val="20"/>
        </w:rPr>
        <w:t xml:space="preserve">優先順位: </w:t>
      </w:r>
      <w:r>
        <w:rPr>
          <w:rFonts w:ascii="Helvetica Neue" w:eastAsia="Yu Gothic" w:hAnsi="Helvetica Neue"/>
          <w:b w:val="false"/>
          <w:bCs w:val="false"/>
          <w:i w:val="false"/>
          <w:iCs w:val="false"/>
          <w:caps w:val="false"/>
          <w:color w:val="111111"/>
          <w:sz w:val="20"/>
          <w:szCs w:val="20"/>
        </w:rPr>
        <w:t xml:space="preserve">本書の規定は、個人の好みや過去の慣習に優先する。本書に明記のない事項はブランド管理責任者の判断に従う。</w:t>
      </w:r>
    </w:p>
    <w:p>
      <w:pPr>
        <w:pStyle w:val="ListParagraph"/>
        <w:numPr>
          <w:ilvl w:val="0"/>
          <w:numId w:val="2"/>
        </w:numPr>
        <w:spacing w:after="70" w:line="300" w:lineRule="auto"/>
      </w:pPr>
      <w:r>
        <w:rPr>
          <w:rFonts w:ascii="Helvetica Neue" w:eastAsia="Yu Gothic" w:hAnsi="Helvetica Neue"/>
          <w:b/>
          <w:bCs/>
          <w:i w:val="false"/>
          <w:iCs w:val="false"/>
          <w:caps w:val="false"/>
          <w:color w:val="111111"/>
          <w:sz w:val="20"/>
          <w:szCs w:val="20"/>
        </w:rPr>
        <w:t xml:space="preserve">更新: </w:t>
      </w:r>
      <w:r>
        <w:rPr>
          <w:rFonts w:ascii="Helvetica Neue" w:eastAsia="Yu Gothic" w:hAnsi="Helvetica Neue"/>
          <w:b w:val="false"/>
          <w:bCs w:val="false"/>
          <w:i w:val="false"/>
          <w:iCs w:val="false"/>
          <w:caps w:val="false"/>
          <w:color w:val="111111"/>
          <w:sz w:val="20"/>
          <w:szCs w:val="20"/>
        </w:rPr>
        <w:t xml:space="preserve">本書はバージョン管理される。最新版以外を運用に用いてはならない。改訂履歴は巻末に記載する。</w:t>
      </w:r>
    </w:p>
    <w:p>
      <w:pPr>
        <w:pStyle w:val="ListParagraph"/>
        <w:numPr>
          <w:ilvl w:val="0"/>
          <w:numId w:val="2"/>
        </w:numPr>
        <w:spacing w:after="70" w:line="300" w:lineRule="auto"/>
      </w:pPr>
      <w:r>
        <w:rPr>
          <w:rFonts w:ascii="Helvetica Neue" w:eastAsia="Yu Gothic" w:hAnsi="Helvetica Neue"/>
          <w:b/>
          <w:bCs/>
          <w:i w:val="false"/>
          <w:iCs w:val="false"/>
          <w:caps w:val="false"/>
          <w:color w:val="111111"/>
          <w:sz w:val="20"/>
          <w:szCs w:val="20"/>
        </w:rPr>
        <w:t xml:space="preserve">逸脱: </w:t>
      </w:r>
      <w:r>
        <w:rPr>
          <w:rFonts w:ascii="Helvetica Neue" w:eastAsia="Yu Gothic" w:hAnsi="Helvetica Neue"/>
          <w:b w:val="false"/>
          <w:bCs w:val="false"/>
          <w:i w:val="false"/>
          <w:iCs w:val="false"/>
          <w:caps w:val="false"/>
          <w:color w:val="111111"/>
          <w:sz w:val="20"/>
          <w:szCs w:val="20"/>
        </w:rPr>
        <w:t xml:space="preserve">規定からの逸脱が必要な場合は、必ず事前にブランド管理責任者の承認を得る。事後報告は認めない。</w:t>
      </w:r>
    </w:p>
    <w:p>
      <w:pPr>
        <w:spacing w:after="80" w:before="0"/>
      </w:pPr>
      <w:r>
        <w:rPr>
          <w:rFonts w:ascii="Helvetica Neue" w:eastAsia="Yu Gothic" w:hAnsi="Helvetica Neue"/>
          <w:b w:val="false"/>
          <w:bCs w:val="false"/>
          <w:i w:val="false"/>
          <w:iCs w:val="false"/>
          <w:caps w:val="false"/>
          <w:color w:val="111111"/>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項目</w:t>
            </w:r>
          </w:p>
        </w:tc>
        <w:tc>
          <w:tcPr>
            <w:tcW w:type="dxa" w:w="67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内容</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正式名称</w:t>
            </w:r>
          </w:p>
        </w:tc>
        <w:tc>
          <w:tcPr>
            <w:tcW w:type="dxa" w:w="6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PHOSARA（フォサラ）</w:t>
            </w:r>
          </w:p>
        </w:tc>
      </w:tr>
      <w:tr>
        <w:tc>
          <w:tcPr>
            <w:tcW w:type="dxa" w:w="26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タグライン</w:t>
            </w:r>
          </w:p>
        </w:tc>
        <w:tc>
          <w:tcPr>
            <w:tcW w:type="dxa" w:w="6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Beyond the Boundary. ／ 光を、境界の先へ。</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ブランド分類</w:t>
            </w:r>
          </w:p>
        </w:tc>
        <w:tc>
          <w:tcPr>
            <w:tcW w:type="dxa" w:w="6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クリエイティブ・スタジオ・ブランド（マスターブランド）</w:t>
            </w:r>
          </w:p>
        </w:tc>
      </w:tr>
      <w:tr>
        <w:tc>
          <w:tcPr>
            <w:tcW w:type="dxa" w:w="26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適用範囲</w:t>
            </w:r>
          </w:p>
        </w:tc>
        <w:tc>
          <w:tcPr>
            <w:tcW w:type="dxa" w:w="6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全事業・全制作物・全コミュニケーション接点</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本書バージョン</w:t>
            </w:r>
          </w:p>
        </w:tc>
        <w:tc>
          <w:tcPr>
            <w:tcW w:type="dxa" w:w="6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Version 1.1（ロゴ光学調整反映版）</w:t>
            </w:r>
          </w:p>
        </w:tc>
      </w:tr>
      <w:tr>
        <w:tc>
          <w:tcPr>
            <w:tcW w:type="dxa" w:w="26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管理責任</w:t>
            </w:r>
          </w:p>
        </w:tc>
        <w:tc>
          <w:tcPr>
            <w:tcW w:type="dxa" w:w="6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ブランド管理責任者（Brand Custodian）</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再現前提</w:t>
            </w:r>
          </w:p>
        </w:tc>
        <w:tc>
          <w:tcPr>
            <w:tcW w:type="dxa" w:w="6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ロゴはベクター（SVG／AI）での再現を原則とする</w:t>
            </w:r>
          </w:p>
        </w:tc>
      </w:tr>
    </w:tbl>
    <w:p>
      <w:pPr>
        <w:pageBreakBefore/>
        <w:spacing w:after="120" w:before="200"/>
      </w:pPr>
      <w:r>
        <w:rPr>
          <w:rFonts w:ascii="Helvetica Neue" w:eastAsia="Yu Gothic" w:hAnsi="Helvetica Neue"/>
          <w:b/>
          <w:bCs/>
          <w:i w:val="false"/>
          <w:iCs w:val="false"/>
          <w:caps w:val="false"/>
          <w:color w:val="111111"/>
          <w:sz w:val="30"/>
          <w:szCs w:val="30"/>
        </w:rPr>
        <w:t xml:space="preserve">目次</w:t>
      </w:r>
      <w:r>
        <w:rPr>
          <w:rFonts w:ascii="Helvetica Neue" w:eastAsia="Yu Gothic" w:hAnsi="Helvetica Neue"/>
          <w:b w:val="false"/>
          <w:bCs w:val="false"/>
          <w:i w:val="false"/>
          <w:iCs w:val="false"/>
          <w:caps w:val="false"/>
          <w:color w:val="9A958C"/>
          <w:spacing w:val="60"/>
          <w:sz w:val="18"/>
          <w:szCs w:val="18"/>
        </w:rPr>
        <w:t xml:space="preserve">   CONTENTS</w:t>
      </w:r>
    </w:p>
    <w:p>
      <w:pPr>
        <w:pBdr>
          <w:bottom w:val="single" w:color="D91E18" w:sz="8" w:space="6"/>
        </w:pBdr>
        <w:spacing w:after="160"/>
      </w:pPr>
      <w:r>
        <w:rPr>
          <w:rFonts w:ascii="Helvetica Neue" w:eastAsia="Yu Gothic" w:hAnsi="Helvetica Neue"/>
          <w:b w:val="false"/>
          <w:bCs w:val="false"/>
          <w:i w:val="false"/>
          <w:iCs w:val="false"/>
          <w:caps w:val="false"/>
          <w:color w:val="111111"/>
          <w:sz w:val="2"/>
          <w:szCs w:val="2"/>
        </w:rPr>
        <w:t xml:space="preserve"/>
      </w:r>
    </w:p>
    <w:sdt>
      <w:sdtPr>
        <w:alias w:val="Contents"/>
      </w:sdtPr>
      <w:sdtContent>
        <w:p>
          <w:r>
            <w:fldChar w:fldCharType="begin" w:dirty="true"/>
            <w:instrText xml:space="preserve">TOC \h \o "1-2"</w:instrText>
            <w:fldChar w:fldCharType="separate"/>
          </w:r>
        </w:p>
        <w:p>
          <w:r>
            <w:fldChar w:fldCharType="end"/>
          </w:r>
        </w:p>
      </w:sdtContent>
    </w:sdt>
    <w:p>
      <w:pPr>
        <w:pageBreakBefore/>
        <w:spacing w:after="0" w:before="2400"/>
      </w:pPr>
      <w:r>
        <w:rPr>
          <w:rFonts w:ascii="Helvetica Neue" w:eastAsia="Yu Gothic" w:hAnsi="Helvetica Neue"/>
          <w:b/>
          <w:bCs/>
          <w:i w:val="false"/>
          <w:iCs w:val="false"/>
          <w:caps/>
          <w:color w:val="D91E18"/>
          <w:spacing w:val="80"/>
          <w:sz w:val="28"/>
          <w:szCs w:val="28"/>
        </w:rPr>
        <w:t xml:space="preserve">PART I</w:t>
      </w:r>
    </w:p>
    <w:p>
      <w:pPr>
        <w:pBdr>
          <w:bottom w:val="single" w:color="111111" w:sz="14" w:space="12"/>
        </w:pBdr>
        <w:spacing w:after="0" w:before="60"/>
      </w:pPr>
      <w:r>
        <w:rPr>
          <w:rFonts w:ascii="Helvetica Neue" w:eastAsia="Yu Gothic" w:hAnsi="Helvetica Neue"/>
          <w:b w:val="false"/>
          <w:bCs w:val="false"/>
          <w:i w:val="false"/>
          <w:iCs w:val="false"/>
          <w:caps w:val="false"/>
          <w:color w:val="5E5E5E"/>
          <w:spacing w:val="40"/>
          <w:sz w:val="26"/>
          <w:szCs w:val="26"/>
        </w:rPr>
        <w:t xml:space="preserve">Brand Strategy</w:t>
      </w:r>
    </w:p>
    <w:p>
      <w:pPr>
        <w:pStyle w:val="Heading1"/>
        <w:spacing w:after="120" w:before="220"/>
      </w:pPr>
      <w:r>
        <w:rPr>
          <w:rFonts w:ascii="Helvetica Neue" w:eastAsia="Yu Gothic" w:hAnsi="Helvetica Neue"/>
          <w:b/>
          <w:bCs/>
          <w:i w:val="false"/>
          <w:iCs w:val="false"/>
          <w:caps w:val="false"/>
          <w:color w:val="111111"/>
          <w:sz w:val="48"/>
          <w:szCs w:val="48"/>
        </w:rPr>
        <w:t xml:space="preserve">ブランド・ストラテジー</w:t>
      </w:r>
    </w:p>
    <w:p>
      <w:pPr>
        <w:spacing w:after="200" w:before="60"/>
      </w:pPr>
      <w:r>
        <w:rPr>
          <w:rFonts w:ascii="Helvetica Neue" w:eastAsia="Yu Gothic" w:hAnsi="Helvetica Neue"/>
          <w:b w:val="false"/>
          <w:bCs w:val="false"/>
          <w:i w:val="false"/>
          <w:iCs w:val="false"/>
          <w:caps w:val="false"/>
          <w:color w:val="5E5E5E"/>
          <w:sz w:val="21"/>
          <w:szCs w:val="21"/>
        </w:rPr>
        <w:t xml:space="preserve">PHOSARAが何者であり、なぜ存在し、誰のために、どこを目指すのか。すべての制作判断はこの章の定義に従う。</w:t>
      </w:r>
    </w:p>
    <w:p>
      <w:pPr>
        <w:keepNext/>
        <w:spacing w:after="0" w:before="360"/>
      </w:pPr>
      <w:r>
        <w:rPr>
          <w:rFonts w:ascii="Helvetica Neue" w:eastAsia="Yu Gothic" w:hAnsi="Helvetica Neue"/>
          <w:b/>
          <w:bCs/>
          <w:i w:val="false"/>
          <w:iCs w:val="false"/>
          <w:caps w:val="false"/>
          <w:color w:val="D91E18"/>
          <w:spacing w:val="40"/>
          <w:sz w:val="22"/>
          <w:szCs w:val="22"/>
        </w:rPr>
        <w:t xml:space="preserve">01</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Brand Philosophy</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ブランド理念</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60" w:line="340" w:lineRule="auto"/>
      </w:pPr>
      <w:r>
        <w:rPr>
          <w:rFonts w:ascii="Helvetica Neue" w:eastAsia="Yu Gothic" w:hAnsi="Helvetica Neue"/>
          <w:b w:val="false"/>
          <w:bCs w:val="false"/>
          <w:i w:val="false"/>
          <w:iCs w:val="false"/>
          <w:caps w:val="false"/>
          <w:color w:val="111111"/>
          <w:sz w:val="24"/>
          <w:szCs w:val="24"/>
        </w:rPr>
        <w:t xml:space="preserve">PHOSARAの理念は一文に集約される ——「光が形になる場所」。</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世界には、まだ輪郭を持たない価値が無数に存在する。語られていない強み、言語化されていない想い、可視化されていない可能性。PHOSARAは、それらに最初の輪郭を与え、人の目に映る「光」へと変換するためのスタジオである。</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私たちはデザインを装飾とは捉えない。デザインとは、見えないものを見えるようにし、価値が正しく伝わる状態をつくる行為である。PHOSARAにとってのデザインは、境界を照らし、その先へ意味を届ける手段に他ならない。</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理念を支える三つの柱</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00"/>
        <w:gridCol w:w="1700"/>
        <w:gridCol w:w="3360"/>
        <w:gridCol w:w="2800"/>
      </w:tblGrid>
      <w:tr>
        <w:trPr>
          <w:tblHeader/>
        </w:trPr>
        <w:tc>
          <w:tcPr>
            <w:tcW w:type="dxa" w:w="15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柱</w:t>
            </w:r>
          </w:p>
        </w:tc>
        <w:tc>
          <w:tcPr>
            <w:tcW w:type="dxa" w:w="17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原語</w:t>
            </w:r>
          </w:p>
        </w:tc>
        <w:tc>
          <w:tcPr>
            <w:tcW w:type="dxa" w:w="33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意味するもの</w:t>
            </w:r>
          </w:p>
        </w:tc>
        <w:tc>
          <w:tcPr>
            <w:tcW w:type="dxa" w:w="28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現場での問い</w:t>
            </w:r>
          </w:p>
        </w:tc>
      </w:tr>
      <w:tr>
        <w:tc>
          <w:tcPr>
            <w:tcW w:type="dxa" w:w="15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9"/>
                <w:szCs w:val="19"/>
              </w:rPr>
              <w:t xml:space="preserve">可視化</w:t>
            </w:r>
          </w:p>
        </w:tc>
        <w:tc>
          <w:tcPr>
            <w:tcW w:type="dxa" w:w="17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Visualization</w:t>
            </w:r>
          </w:p>
        </w:tc>
        <w:tc>
          <w:tcPr>
            <w:tcW w:type="dxa" w:w="33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見えない価値に輪郭を与える</w:t>
            </w:r>
          </w:p>
        </w:tc>
        <w:tc>
          <w:tcPr>
            <w:tcW w:type="dxa" w:w="2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この制作物は、何を見えるようにしたか？</w:t>
            </w:r>
          </w:p>
        </w:tc>
      </w:tr>
      <w:tr>
        <w:tc>
          <w:tcPr>
            <w:tcW w:type="dxa" w:w="15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9"/>
                <w:szCs w:val="19"/>
              </w:rPr>
              <w:t xml:space="preserve">越境</w:t>
            </w:r>
          </w:p>
        </w:tc>
        <w:tc>
          <w:tcPr>
            <w:tcW w:type="dxa" w:w="17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Boundary</w:t>
            </w:r>
          </w:p>
        </w:tc>
        <w:tc>
          <w:tcPr>
            <w:tcW w:type="dxa" w:w="33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領域・常識・期待の境界を越える</w:t>
            </w:r>
          </w:p>
        </w:tc>
        <w:tc>
          <w:tcPr>
            <w:tcW w:type="dxa" w:w="28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既存の枠の、ひとつ先へ行けているか？</w:t>
            </w:r>
          </w:p>
        </w:tc>
      </w:tr>
      <w:tr>
        <w:tc>
          <w:tcPr>
            <w:tcW w:type="dxa" w:w="15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9"/>
                <w:szCs w:val="19"/>
              </w:rPr>
              <w:t xml:space="preserve">本質</w:t>
            </w:r>
          </w:p>
        </w:tc>
        <w:tc>
          <w:tcPr>
            <w:tcW w:type="dxa" w:w="17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Essence</w:t>
            </w:r>
          </w:p>
        </w:tc>
        <w:tc>
          <w:tcPr>
            <w:tcW w:type="dxa" w:w="33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装飾を削ぎ、核だけを残す</w:t>
            </w:r>
          </w:p>
        </w:tc>
        <w:tc>
          <w:tcPr>
            <w:tcW w:type="dxa" w:w="2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削れる要素を、最後まで削ったか？</w:t>
            </w:r>
          </w:p>
        </w:tc>
      </w:tr>
    </w:tbl>
    <w:p>
      <w:pPr>
        <w:spacing w:after="120" w:before="0" w:line="312" w:lineRule="auto"/>
        <w:jc w:val="both"/>
      </w:pPr>
      <w:r>
        <w:rPr>
          <w:rFonts w:ascii="Helvetica Neue" w:eastAsia="Yu Gothic" w:hAnsi="Helvetica Neue"/>
          <w:b/>
          <w:bCs/>
          <w:i w:val="false"/>
          <w:iCs w:val="false"/>
          <w:caps w:val="false"/>
          <w:color w:val="111111"/>
          <w:sz w:val="20"/>
          <w:szCs w:val="20"/>
        </w:rPr>
        <w:t xml:space="preserve">この三つの問いに「はい」と答えられない制作物は、PHOSARAの名を冠してはならない。</w:t>
      </w:r>
    </w:p>
    <w:p>
      <w:pPr>
        <w:keepNext/>
        <w:spacing w:after="0" w:before="360"/>
      </w:pPr>
      <w:r>
        <w:rPr>
          <w:rFonts w:ascii="Helvetica Neue" w:eastAsia="Yu Gothic" w:hAnsi="Helvetica Neue"/>
          <w:b/>
          <w:bCs/>
          <w:i w:val="false"/>
          <w:iCs w:val="false"/>
          <w:caps w:val="false"/>
          <w:color w:val="D91E18"/>
          <w:spacing w:val="40"/>
          <w:sz w:val="22"/>
          <w:szCs w:val="22"/>
        </w:rPr>
        <w:t xml:space="preserve">02</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Mission</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ミッション</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60" w:line="340" w:lineRule="auto"/>
      </w:pPr>
      <w:r>
        <w:rPr>
          <w:rFonts w:ascii="Helvetica Neue" w:eastAsia="Yu Gothic" w:hAnsi="Helvetica Neue"/>
          <w:b w:val="false"/>
          <w:bCs w:val="false"/>
          <w:i w:val="false"/>
          <w:iCs w:val="false"/>
          <w:caps w:val="false"/>
          <w:color w:val="111111"/>
          <w:sz w:val="24"/>
          <w:szCs w:val="24"/>
        </w:rPr>
        <w:t xml:space="preserve">見えない価値を、見える光に変える。</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PHOSARAのミッションは、クライアントと社会の間にある「価値の翻訳」を担うことである。優れた事業・技術・想いが、伝わらないという理由だけで埋もれていく状況を、私たちは是としない。</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ミッションを果たすための行動定義</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クライアントの内側にある核（Essence）を、対話と観察によって発見する。</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その核を、最小かつ最強の表現に翻訳する（足し算ではなく引き算で設計する）。</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翻訳した表現を、あらゆる接点で破綻なく再現できる仕組み（本書）として固定する。</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成果を、感覚ではなく基準（品質スコア・チェックリスト）で検証する。</w:t>
      </w:r>
    </w:p>
    <w:p>
      <w:pPr>
        <w:keepNext/>
        <w:spacing w:after="0" w:before="360"/>
      </w:pPr>
      <w:r>
        <w:rPr>
          <w:rFonts w:ascii="Helvetica Neue" w:eastAsia="Yu Gothic" w:hAnsi="Helvetica Neue"/>
          <w:b/>
          <w:bCs/>
          <w:i w:val="false"/>
          <w:iCs w:val="false"/>
          <w:caps w:val="false"/>
          <w:color w:val="D91E18"/>
          <w:spacing w:val="40"/>
          <w:sz w:val="22"/>
          <w:szCs w:val="22"/>
        </w:rPr>
        <w:t xml:space="preserve">03</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Vision</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ビジョン</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60" w:line="340" w:lineRule="auto"/>
      </w:pPr>
      <w:r>
        <w:rPr>
          <w:rFonts w:ascii="Helvetica Neue" w:eastAsia="Yu Gothic" w:hAnsi="Helvetica Neue"/>
          <w:b w:val="false"/>
          <w:bCs w:val="false"/>
          <w:i w:val="false"/>
          <w:iCs w:val="false"/>
          <w:caps w:val="false"/>
          <w:color w:val="111111"/>
          <w:sz w:val="24"/>
          <w:szCs w:val="24"/>
        </w:rPr>
        <w:t xml:space="preserve">「価値を可視化するなら、PHOSARAへ」と最初に想起される存在になる。</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は、特定の媒体や手法に閉じたスタジオではなく、価値の可視化という一点において第一想起を獲得することを目指す。紙・デジタル・空間・AI生成・販促物——出力がどこであっても、可視化の品質において指名される状態を目標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7560"/>
      </w:tblGrid>
      <w:tr>
        <w:trPr>
          <w:tblHeader/>
        </w:trPr>
        <w:tc>
          <w:tcPr>
            <w:tcW w:type="dxa" w:w="18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時間軸</w:t>
            </w:r>
          </w:p>
        </w:tc>
        <w:tc>
          <w:tcPr>
            <w:tcW w:type="dxa" w:w="75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到達状態</w:t>
            </w:r>
          </w:p>
        </w:tc>
      </w:tr>
      <w:tr>
        <w:tc>
          <w:tcPr>
            <w:tcW w:type="dxa" w:w="1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短期</w:t>
            </w:r>
          </w:p>
        </w:tc>
        <w:tc>
          <w:tcPr>
            <w:tcW w:type="dxa" w:w="75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全事業・全制作物が本書に基づき同一品質で再現される運用体制の確立。</w:t>
            </w:r>
          </w:p>
        </w:tc>
      </w:tr>
      <w:tr>
        <w:tc>
          <w:tcPr>
            <w:tcW w:type="dxa" w:w="18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中期</w:t>
            </w:r>
          </w:p>
        </w:tc>
        <w:tc>
          <w:tcPr>
            <w:tcW w:type="dxa" w:w="75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デザイン／AIクリエイティブ／広告／販促の各領域で、指名される代表事例を保有する。</w:t>
            </w:r>
          </w:p>
        </w:tc>
      </w:tr>
      <w:tr>
        <w:tc>
          <w:tcPr>
            <w:tcW w:type="dxa" w:w="1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長期</w:t>
            </w:r>
          </w:p>
        </w:tc>
        <w:tc>
          <w:tcPr>
            <w:tcW w:type="dxa" w:w="75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「可視化＝PHOSARA」という連想を市場に定着させ、ブランドが事業を牽引する状態をつくる。</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04</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Core Values</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バリュー</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PHOSARAのコアテーマ（Light／Boundary／Silence／Essence／Discovery／Creation）は、抽象的な価値観ではなく、日々の制作判断に翻訳された行動規範として運用される。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2200"/>
        <w:gridCol w:w="2780"/>
        <w:gridCol w:w="2580"/>
      </w:tblGrid>
      <w:tr>
        <w:trPr>
          <w:tblHeader/>
        </w:trPr>
        <w:tc>
          <w:tcPr>
            <w:tcW w:type="dxa" w:w="18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バリュー</w:t>
            </w:r>
          </w:p>
        </w:tc>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意味</w:t>
            </w:r>
          </w:p>
        </w:tc>
        <w:tc>
          <w:tcPr>
            <w:tcW w:type="dxa" w:w="278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行動規範（DO）</w:t>
            </w:r>
          </w:p>
        </w:tc>
        <w:tc>
          <w:tcPr>
            <w:tcW w:type="dxa" w:w="258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反する行為（DON'T）</w:t>
            </w:r>
          </w:p>
        </w:tc>
      </w:tr>
      <w:tr>
        <w:tc>
          <w:tcPr>
            <w:tcW w:type="dxa" w:w="1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D91E18"/>
                <w:sz w:val="18"/>
                <w:szCs w:val="18"/>
              </w:rPr>
              <w:t xml:space="preserve">Light｜光</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価値を照らし、伝わる状態をつくる</w:t>
            </w:r>
          </w:p>
        </w:tc>
        <w:tc>
          <w:tcPr>
            <w:tcW w:type="dxa" w:w="27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受け手の理解を最優先に設計する</w:t>
            </w:r>
          </w:p>
        </w:tc>
        <w:tc>
          <w:tcPr>
            <w:tcW w:type="dxa" w:w="25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作り手の自己満足を優先する</w:t>
            </w:r>
          </w:p>
        </w:tc>
      </w:tr>
      <w:tr>
        <w:tc>
          <w:tcPr>
            <w:tcW w:type="dxa" w:w="18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Boundary｜境界</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既存の枠の先へ行く</w:t>
            </w:r>
          </w:p>
        </w:tc>
        <w:tc>
          <w:tcPr>
            <w:tcW w:type="dxa" w:w="27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前例の一歩先の選択肢を必ず検討する</w:t>
            </w:r>
          </w:p>
        </w:tc>
        <w:tc>
          <w:tcPr>
            <w:tcW w:type="dxa" w:w="25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無難な前例の踏襲で済ませる</w:t>
            </w:r>
          </w:p>
        </w:tc>
      </w:tr>
      <w:tr>
        <w:tc>
          <w:tcPr>
            <w:tcW w:type="dxa" w:w="1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Silence｜静寂</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余白と静けさを設計に組み込む</w:t>
            </w:r>
          </w:p>
        </w:tc>
        <w:tc>
          <w:tcPr>
            <w:tcW w:type="dxa" w:w="27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要素を減らし、余白で語らせる</w:t>
            </w:r>
          </w:p>
        </w:tc>
        <w:tc>
          <w:tcPr>
            <w:tcW w:type="dxa" w:w="25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情報を詰め込み、騒がしくする</w:t>
            </w:r>
          </w:p>
        </w:tc>
      </w:tr>
      <w:tr>
        <w:tc>
          <w:tcPr>
            <w:tcW w:type="dxa" w:w="18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Essence｜本質</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核以外を削ぎ落とす</w:t>
            </w:r>
          </w:p>
        </w:tc>
        <w:tc>
          <w:tcPr>
            <w:tcW w:type="dxa" w:w="27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「なぜ必要か」を要素ごとに問う</w:t>
            </w:r>
          </w:p>
        </w:tc>
        <w:tc>
          <w:tcPr>
            <w:tcW w:type="dxa" w:w="25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装飾を理由なく足す</w:t>
            </w:r>
          </w:p>
        </w:tc>
      </w:tr>
      <w:tr>
        <w:tc>
          <w:tcPr>
            <w:tcW w:type="dxa" w:w="1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Discovery｜発見</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見落とされた価値を見つける</w:t>
            </w:r>
          </w:p>
        </w:tc>
        <w:tc>
          <w:tcPr>
            <w:tcW w:type="dxa" w:w="27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観察と問いで隠れた強みを掘る</w:t>
            </w:r>
          </w:p>
        </w:tc>
        <w:tc>
          <w:tcPr>
            <w:tcW w:type="dxa" w:w="25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表層の要望だけを処理する</w:t>
            </w:r>
          </w:p>
        </w:tc>
      </w:tr>
      <w:tr>
        <w:tc>
          <w:tcPr>
            <w:tcW w:type="dxa" w:w="18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Creation｜創造</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再現可能な形にして残す</w:t>
            </w:r>
          </w:p>
        </w:tc>
        <w:tc>
          <w:tcPr>
            <w:tcW w:type="dxa" w:w="27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仕組み・規定として定着させる</w:t>
            </w:r>
          </w:p>
        </w:tc>
        <w:tc>
          <w:tcPr>
            <w:tcW w:type="dxa" w:w="25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属人的な一回限りの成果で終える</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05</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Brand Story</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ブランドストーリー</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bCs/>
          <w:i w:val="false"/>
          <w:iCs w:val="false"/>
          <w:caps w:val="false"/>
          <w:color w:val="111111"/>
          <w:sz w:val="20"/>
          <w:szCs w:val="20"/>
        </w:rPr>
        <w:t xml:space="preserve">PHOSARA</w:t>
      </w:r>
      <w:r>
        <w:rPr>
          <w:rFonts w:ascii="Helvetica Neue" w:eastAsia="Yu Gothic" w:hAnsi="Helvetica Neue"/>
          <w:b w:val="false"/>
          <w:bCs w:val="false"/>
          <w:i w:val="false"/>
          <w:iCs w:val="false"/>
          <w:caps w:val="false"/>
          <w:color w:val="111111"/>
          <w:sz w:val="20"/>
          <w:szCs w:val="20"/>
        </w:rPr>
        <w:t xml:space="preserve"> という名は、二つの語源から生まれている。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00"/>
        <w:gridCol w:w="3200"/>
        <w:gridCol w:w="4360"/>
      </w:tblGrid>
      <w:tr>
        <w:trPr>
          <w:tblHeader/>
        </w:trPr>
        <w:tc>
          <w:tcPr>
            <w:tcW w:type="dxa" w:w="18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要素</w:t>
            </w:r>
          </w:p>
        </w:tc>
        <w:tc>
          <w:tcPr>
            <w:tcW w:type="dxa" w:w="3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原語</w:t>
            </w:r>
          </w:p>
        </w:tc>
        <w:tc>
          <w:tcPr>
            <w:tcW w:type="dxa" w:w="43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意味</w:t>
            </w:r>
          </w:p>
        </w:tc>
      </w:tr>
      <w:tr>
        <w:tc>
          <w:tcPr>
            <w:tcW w:type="dxa" w:w="1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w:t>
            </w:r>
          </w:p>
        </w:tc>
        <w:tc>
          <w:tcPr>
            <w:tcW w:type="dxa" w:w="3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φῶς（ギリシャ語）</w:t>
            </w:r>
          </w:p>
        </w:tc>
        <w:tc>
          <w:tcPr>
            <w:tcW w:type="dxa" w:w="43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光</w:t>
            </w:r>
          </w:p>
        </w:tc>
      </w:tr>
      <w:tr>
        <w:tc>
          <w:tcPr>
            <w:tcW w:type="dxa" w:w="18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ARA</w:t>
            </w:r>
          </w:p>
        </w:tc>
        <w:tc>
          <w:tcPr>
            <w:tcW w:type="dxa" w:w="3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Altar / Gateway</w:t>
            </w:r>
          </w:p>
        </w:tc>
        <w:tc>
          <w:tcPr>
            <w:tcW w:type="dxa" w:w="43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祭壇・聖なる場所・境界の門</w:t>
            </w:r>
          </w:p>
        </w:tc>
      </w:tr>
    </w:tbl>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「光（PHOS）」が「門（ARA）」をくぐる——その瞬間に、見えなかったものが姿を現す。PHOSARAとは、価値が光となって境界を越え、初めて形を得る「場所」を指す。</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シンボルは、二本の柱と横梁からなる門の構造をとる。これは聖域への入口であり、内と外、既知と未知、見えるものと見えないものを分かつ境界の象徴である。中心に置かれた赤い核は、その境界をくぐり抜ける一点の光——可視化の瞬間そのものを表す。</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私たちが扱うすべての仕事は、この物語の反復である。クライアントの内に眠る光を見つけ、門の先へ送り出す。PHOSARAのデザインは、装飾ではなく、その通過儀礼の設計である。</w:t>
      </w:r>
    </w:p>
    <w:p>
      <w:pPr>
        <w:keepNext/>
        <w:spacing w:after="0" w:before="360"/>
      </w:pPr>
      <w:r>
        <w:rPr>
          <w:rFonts w:ascii="Helvetica Neue" w:eastAsia="Yu Gothic" w:hAnsi="Helvetica Neue"/>
          <w:b/>
          <w:bCs/>
          <w:i w:val="false"/>
          <w:iCs w:val="false"/>
          <w:caps w:val="false"/>
          <w:color w:val="D91E18"/>
          <w:spacing w:val="40"/>
          <w:sz w:val="22"/>
          <w:szCs w:val="22"/>
        </w:rPr>
        <w:t xml:space="preserve">06</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Brand Positioning</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ブランドポジショニング</w:t>
      </w:r>
    </w:p>
    <w:p>
      <w:pPr>
        <w:spacing w:after="80" w:before="0"/>
      </w:pPr>
      <w:r>
        <w:rPr>
          <w:rFonts w:ascii="Helvetica Neue" w:eastAsia="Yu Gothic" w:hAnsi="Helvetica Neue"/>
          <w:b w:val="false"/>
          <w:bCs w:val="false"/>
          <w:i w:val="false"/>
          <w:iCs w:val="false"/>
          <w:caps w:val="false"/>
          <w:color w:val="111111"/>
          <w:sz w:val="2"/>
          <w:szCs w:val="2"/>
        </w:rPr>
        <w:t xml:space="preserve"/>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ポジショニング・ステートメント</w:t>
      </w:r>
    </w:p>
    <w:p>
      <w:pPr>
        <w:pBdr>
          <w:left w:val="single" w:color="D91E18" w:sz="18" w:space="12"/>
        </w:pBdr>
        <w:shd w:fill="EFEDE9" w:color="auto" w:val="clear"/>
        <w:spacing w:after="120" w:before="60" w:line="320" w:lineRule="auto"/>
      </w:pPr>
      <w:r>
        <w:rPr>
          <w:rFonts w:ascii="Helvetica Neue" w:eastAsia="Yu Gothic" w:hAnsi="Helvetica Neue"/>
          <w:b w:val="false"/>
          <w:bCs w:val="false"/>
          <w:i w:val="false"/>
          <w:iCs w:val="false"/>
          <w:caps w:val="false"/>
          <w:color w:val="111111"/>
          <w:sz w:val="21"/>
          <w:szCs w:val="21"/>
        </w:rPr>
        <w:t xml:space="preserve">　価値の可視化を必要とするすべての組織にとって、PHOSARAは「本質を最小の表現に翻訳し、あらゆる接点で再現する」クリエイティブ・スタジオである。総合代理店のような規模でも、単機能のツールでもなく、本質の発見と再現可能な設計を一貫して担う点において、他と一線を画す。</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ポジショニングの二軸</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PHOSARAは下記二軸の右上——「本質志向 × 一貫再現」の象限に立つ。装飾的・属人的な領域には踏み込まない。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000"/>
        <w:gridCol w:w="4360"/>
      </w:tblGrid>
      <w:tr>
        <w:trPr>
          <w:tblHeader/>
        </w:trPr>
        <w:tc>
          <w:tcPr>
            <w:tcW w:type="dxa" w:w="2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軸</w:t>
            </w:r>
          </w:p>
        </w:tc>
        <w:tc>
          <w:tcPr>
            <w:tcW w:type="dxa" w:w="3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一方の極</w:t>
            </w:r>
          </w:p>
        </w:tc>
        <w:tc>
          <w:tcPr>
            <w:tcW w:type="dxa" w:w="43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PHOSARAの立ち位置</w:t>
            </w:r>
          </w:p>
        </w:tc>
      </w:tr>
      <w:tr>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表現の方向</w:t>
            </w:r>
          </w:p>
        </w:tc>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装飾的・足し算</w:t>
            </w:r>
          </w:p>
        </w:tc>
        <w:tc>
          <w:tcPr>
            <w:tcW w:type="dxa" w:w="43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本質的・引き算（核を残す）</w:t>
            </w:r>
          </w:p>
        </w:tc>
      </w:tr>
      <w:tr>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再現性</w:t>
            </w:r>
          </w:p>
        </w:tc>
        <w:tc>
          <w:tcPr>
            <w:tcW w:type="dxa" w:w="3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属人的・一回性</w:t>
            </w:r>
          </w:p>
        </w:tc>
        <w:tc>
          <w:tcPr>
            <w:tcW w:type="dxa" w:w="43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仕組み化・一貫再現</w:t>
            </w:r>
          </w:p>
        </w:tc>
      </w:tr>
      <w:tr>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関与の深さ</w:t>
            </w:r>
          </w:p>
        </w:tc>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言われた通り制作</w:t>
            </w:r>
          </w:p>
        </w:tc>
        <w:tc>
          <w:tcPr>
            <w:tcW w:type="dxa" w:w="43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価値の発見から関与</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07</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Target Audience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ターゲット顧客</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PHOSARAの主要顧客は、「伝えるべき価値はあるが、それが正しく可視化されていない」と感じている意思決定者である。代表的な像を下記に定義する。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2300"/>
        <w:gridCol w:w="2530"/>
        <w:gridCol w:w="2530"/>
      </w:tblGrid>
      <w:tr>
        <w:trPr>
          <w:tblHeader/>
        </w:trPr>
        <w:tc>
          <w:tcPr>
            <w:tcW w:type="dxa" w:w="2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ペルソナ</w:t>
            </w:r>
          </w:p>
        </w:tc>
        <w:tc>
          <w:tcPr>
            <w:tcW w:type="dxa" w:w="23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立場・状況</w:t>
            </w:r>
          </w:p>
        </w:tc>
        <w:tc>
          <w:tcPr>
            <w:tcW w:type="dxa" w:w="253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抱える課題</w:t>
            </w:r>
          </w:p>
        </w:tc>
        <w:tc>
          <w:tcPr>
            <w:tcW w:type="dxa" w:w="253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PHOSARAへの期待</w:t>
            </w:r>
          </w:p>
        </w:tc>
      </w:tr>
      <w:tr>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ブランド責任者</w:t>
            </w:r>
          </w:p>
        </w:tc>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事業会社の経営・ブランド統括</w:t>
            </w:r>
          </w:p>
        </w:tc>
        <w:tc>
          <w:tcPr>
            <w:tcW w:type="dxa" w:w="25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事業の価値が市場に伝わらない</w:t>
            </w:r>
          </w:p>
        </w:tc>
        <w:tc>
          <w:tcPr>
            <w:tcW w:type="dxa" w:w="25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本質を突いた一貫性のある設計</w:t>
            </w:r>
          </w:p>
        </w:tc>
      </w:tr>
      <w:tr>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代理店ディレクター</w:t>
            </w:r>
          </w:p>
        </w:tc>
        <w:tc>
          <w:tcPr>
            <w:tcW w:type="dxa" w:w="23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広告・PR代理店の制作統括</w:t>
            </w:r>
          </w:p>
        </w:tc>
        <w:tc>
          <w:tcPr>
            <w:tcW w:type="dxa" w:w="25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短納期で高品質な制作力が不足</w:t>
            </w:r>
          </w:p>
        </w:tc>
        <w:tc>
          <w:tcPr>
            <w:tcW w:type="dxa" w:w="25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品質を担保した協業パートナー</w:t>
            </w:r>
          </w:p>
        </w:tc>
      </w:tr>
      <w:tr>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地域・中堅企業の経営者</w:t>
            </w:r>
          </w:p>
        </w:tc>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地場で実力はあるが発信が弱い</w:t>
            </w:r>
          </w:p>
        </w:tc>
        <w:tc>
          <w:tcPr>
            <w:tcW w:type="dxa" w:w="25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実力に発信が追いついていない</w:t>
            </w:r>
          </w:p>
        </w:tc>
        <w:tc>
          <w:tcPr>
            <w:tcW w:type="dxa" w:w="25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実力を可視化する手触りの設計</w:t>
            </w:r>
          </w:p>
        </w:tc>
      </w:tr>
      <w:tr>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ホール運営企業の販促担当</w:t>
            </w:r>
          </w:p>
        </w:tc>
        <w:tc>
          <w:tcPr>
            <w:tcW w:type="dxa" w:w="23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パチンコ等の集客・販促責任者</w:t>
            </w:r>
          </w:p>
        </w:tc>
        <w:tc>
          <w:tcPr>
            <w:tcW w:type="dxa" w:w="25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品位と訴求を両立した販促が難しい</w:t>
            </w:r>
          </w:p>
        </w:tc>
        <w:tc>
          <w:tcPr>
            <w:tcW w:type="dxa" w:w="25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規制に配慮した上質な販促設計</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08</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Competitive Positioning</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競合ポジショニング</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PHOSARAは特定の競合企業ではなく、顧客が比較検討する「選択肢のカテゴリー」を競合と捉える。各カテゴリーに対する差別化を明確にする。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380"/>
        <w:gridCol w:w="3380"/>
      </w:tblGrid>
      <w:tr>
        <w:trPr>
          <w:tblHeader/>
        </w:trPr>
        <w:tc>
          <w:tcPr>
            <w:tcW w:type="dxa" w:w="26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比較対象カテゴリー</w:t>
            </w:r>
          </w:p>
        </w:tc>
        <w:tc>
          <w:tcPr>
            <w:tcW w:type="dxa" w:w="338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顧客が感じる限界</w:t>
            </w:r>
          </w:p>
        </w:tc>
        <w:tc>
          <w:tcPr>
            <w:tcW w:type="dxa" w:w="338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PHOSARAの優位</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総合広告代理店</w:t>
            </w:r>
          </w:p>
        </w:tc>
        <w:tc>
          <w:tcPr>
            <w:tcW w:type="dxa" w:w="33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規模ゆえに本質が薄まる・高コスト</w:t>
            </w:r>
          </w:p>
        </w:tc>
        <w:tc>
          <w:tcPr>
            <w:tcW w:type="dxa" w:w="33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本質に絞った設計と一貫再現</w:t>
            </w:r>
          </w:p>
        </w:tc>
      </w:tr>
      <w:tr>
        <w:tc>
          <w:tcPr>
            <w:tcW w:type="dxa" w:w="26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デザインファーム</w:t>
            </w:r>
          </w:p>
        </w:tc>
        <w:tc>
          <w:tcPr>
            <w:tcW w:type="dxa" w:w="33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美しいが再現運用まで届かない</w:t>
            </w:r>
          </w:p>
        </w:tc>
        <w:tc>
          <w:tcPr>
            <w:tcW w:type="dxa" w:w="33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運用基準（本書）まで設計に含む</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AI生成ツール単体</w:t>
            </w:r>
          </w:p>
        </w:tc>
        <w:tc>
          <w:tcPr>
            <w:tcW w:type="dxa" w:w="33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速いが品質と一貫性が不安定</w:t>
            </w:r>
          </w:p>
        </w:tc>
        <w:tc>
          <w:tcPr>
            <w:tcW w:type="dxa" w:w="33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AIを品質ゲートで統制し人が監修</w:t>
            </w:r>
          </w:p>
        </w:tc>
      </w:tr>
      <w:tr>
        <w:tc>
          <w:tcPr>
            <w:tcW w:type="dxa" w:w="26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フリーランス</w:t>
            </w:r>
          </w:p>
        </w:tc>
        <w:tc>
          <w:tcPr>
            <w:tcW w:type="dxa" w:w="33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属人的で継続・拡張に不安</w:t>
            </w:r>
          </w:p>
        </w:tc>
        <w:tc>
          <w:tcPr>
            <w:tcW w:type="dxa" w:w="33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仕組み化により品質を属人化させない</w:t>
            </w:r>
          </w:p>
        </w:tc>
      </w:tr>
    </w:tbl>
    <w:p>
      <w:pPr>
        <w:spacing w:after="120" w:before="0" w:line="312" w:lineRule="auto"/>
        <w:jc w:val="both"/>
      </w:pPr>
      <w:r>
        <w:rPr>
          <w:rFonts w:ascii="Helvetica Neue" w:eastAsia="Yu Gothic" w:hAnsi="Helvetica Neue"/>
          <w:b/>
          <w:bCs/>
          <w:i w:val="false"/>
          <w:iCs w:val="false"/>
          <w:caps w:val="false"/>
          <w:color w:val="D91E18"/>
          <w:sz w:val="20"/>
          <w:szCs w:val="20"/>
        </w:rPr>
        <w:t xml:space="preserve">差別化の核心: </w:t>
      </w:r>
      <w:r>
        <w:rPr>
          <w:rFonts w:ascii="Helvetica Neue" w:eastAsia="Yu Gothic" w:hAnsi="Helvetica Neue"/>
          <w:b w:val="false"/>
          <w:bCs w:val="false"/>
          <w:i w:val="false"/>
          <w:iCs w:val="false"/>
          <w:caps w:val="false"/>
          <w:color w:val="111111"/>
          <w:sz w:val="20"/>
          <w:szCs w:val="20"/>
        </w:rPr>
        <w:t xml:space="preserve">PHOSARAは「作って終わり」ではなく「同じ品質で作り続けられる状態」を納品する。これが本書の存在理由であり、最大の競争優位である。</w:t>
      </w:r>
    </w:p>
    <w:p>
      <w:pPr>
        <w:pageBreakBefore/>
        <w:spacing w:after="0" w:before="2400"/>
      </w:pPr>
      <w:r>
        <w:rPr>
          <w:rFonts w:ascii="Helvetica Neue" w:eastAsia="Yu Gothic" w:hAnsi="Helvetica Neue"/>
          <w:b/>
          <w:bCs/>
          <w:i w:val="false"/>
          <w:iCs w:val="false"/>
          <w:caps/>
          <w:color w:val="D91E18"/>
          <w:spacing w:val="80"/>
          <w:sz w:val="28"/>
          <w:szCs w:val="28"/>
        </w:rPr>
        <w:t xml:space="preserve">PART II</w:t>
      </w:r>
    </w:p>
    <w:p>
      <w:pPr>
        <w:pBdr>
          <w:bottom w:val="single" w:color="111111" w:sz="14" w:space="12"/>
        </w:pBdr>
        <w:spacing w:after="0" w:before="60"/>
      </w:pPr>
      <w:r>
        <w:rPr>
          <w:rFonts w:ascii="Helvetica Neue" w:eastAsia="Yu Gothic" w:hAnsi="Helvetica Neue"/>
          <w:b w:val="false"/>
          <w:bCs w:val="false"/>
          <w:i w:val="false"/>
          <w:iCs w:val="false"/>
          <w:caps w:val="false"/>
          <w:color w:val="5E5E5E"/>
          <w:spacing w:val="40"/>
          <w:sz w:val="26"/>
          <w:szCs w:val="26"/>
        </w:rPr>
        <w:t xml:space="preserve">Logo &amp; Symbol</w:t>
      </w:r>
    </w:p>
    <w:p>
      <w:pPr>
        <w:pStyle w:val="Heading1"/>
        <w:spacing w:after="120" w:before="220"/>
      </w:pPr>
      <w:r>
        <w:rPr>
          <w:rFonts w:ascii="Helvetica Neue" w:eastAsia="Yu Gothic" w:hAnsi="Helvetica Neue"/>
          <w:b/>
          <w:bCs/>
          <w:i w:val="false"/>
          <w:iCs w:val="false"/>
          <w:caps w:val="false"/>
          <w:color w:val="111111"/>
          <w:sz w:val="48"/>
          <w:szCs w:val="48"/>
        </w:rPr>
        <w:t xml:space="preserve">ロゴ・シンボル</w:t>
      </w:r>
    </w:p>
    <w:p>
      <w:pPr>
        <w:spacing w:after="200" w:before="60"/>
      </w:pPr>
      <w:r>
        <w:rPr>
          <w:rFonts w:ascii="Helvetica Neue" w:eastAsia="Yu Gothic" w:hAnsi="Helvetica Neue"/>
          <w:b w:val="false"/>
          <w:bCs w:val="false"/>
          <w:i w:val="false"/>
          <w:iCs w:val="false"/>
          <w:caps w:val="false"/>
          <w:color w:val="5E5E5E"/>
          <w:sz w:val="21"/>
          <w:szCs w:val="21"/>
        </w:rPr>
        <w:t xml:space="preserve">PHOSARAの象徴を、誰が再現しても同一になるよう数値で固定する。ロゴは資産であり、感覚で扱ってはならない。</w:t>
      </w:r>
    </w:p>
    <w:p>
      <w:pPr>
        <w:keepNext/>
        <w:spacing w:after="0" w:before="360"/>
      </w:pPr>
      <w:r>
        <w:rPr>
          <w:rFonts w:ascii="Helvetica Neue" w:eastAsia="Yu Gothic" w:hAnsi="Helvetica Neue"/>
          <w:b/>
          <w:bCs/>
          <w:i w:val="false"/>
          <w:iCs w:val="false"/>
          <w:caps w:val="false"/>
          <w:color w:val="D91E18"/>
          <w:spacing w:val="40"/>
          <w:sz w:val="22"/>
          <w:szCs w:val="22"/>
        </w:rPr>
        <w:t xml:space="preserve">09</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Logo Concept</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ロゴコンセプト</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40" w:before="80"/>
        <w:jc w:val="center"/>
      </w:pPr>
      <w:r>
        <w:drawing>
          <wp:inline distT="0" distB="0" distL="0" distR="0">
            <wp:extent cx="1619250" cy="1743075"/>
            <wp:effectExtent t="0" r="0" b="0" l="0"/>
            <wp:docPr id="1" name="phosara" descr="PHOSARA brand asset" title="PHOS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619250" cy="1743075"/>
                    </a:xfrm>
                    <a:prstGeom prst="rect">
                      <a:avLst/>
                    </a:prstGeom>
                  </pic:spPr>
                </pic:pic>
              </a:graphicData>
            </a:graphic>
          </wp:inline>
        </w:drawing>
      </w:r>
    </w:p>
    <w:p>
      <w:pPr>
        <w:spacing w:after="160" w:before="60"/>
        <w:jc w:val="center"/>
      </w:pPr>
      <w:r>
        <w:rPr>
          <w:rFonts w:ascii="Helvetica Neue" w:eastAsia="Yu Gothic" w:hAnsi="Helvetica Neue"/>
          <w:b w:val="false"/>
          <w:bCs w:val="false"/>
          <w:i w:val="false"/>
          <w:iCs w:val="false"/>
          <w:caps w:val="false"/>
          <w:color w:val="9A958C"/>
          <w:sz w:val="17"/>
          <w:szCs w:val="17"/>
        </w:rPr>
        <w:t xml:space="preserve">PHOSARA シンボル（フルカラー基本形・v1.1）</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PHOSARAのシンボルは「門＝境界」と「赤い核＝光」の二要素で構成される。横梁と二本の柱が聖域への入口を成し、中心に灯る赤い核が、境界をくぐり可視化される一点の光を表す。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造形要素</w:t>
            </w:r>
          </w:p>
        </w:tc>
        <w:tc>
          <w:tcPr>
            <w:tcW w:type="dxa" w:w="67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象徴する意味</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横梁（ビーム）</w:t>
            </w:r>
          </w:p>
        </w:tc>
        <w:tc>
          <w:tcPr>
            <w:tcW w:type="dxa" w:w="6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境界・地と天を分かつ線・くぐるべき関門</w:t>
            </w:r>
          </w:p>
        </w:tc>
      </w:tr>
      <w:tr>
        <w:tc>
          <w:tcPr>
            <w:tcW w:type="dxa" w:w="26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二本の柱</w:t>
            </w:r>
          </w:p>
        </w:tc>
        <w:tc>
          <w:tcPr>
            <w:tcW w:type="dxa" w:w="6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門・聖域への入口・内と外の接続</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中央の赤い核</w:t>
            </w:r>
          </w:p>
        </w:tc>
        <w:tc>
          <w:tcPr>
            <w:tcW w:type="dxa" w:w="6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可視化される光・本質・到達点</w:t>
            </w:r>
          </w:p>
        </w:tc>
      </w:tr>
      <w:tr>
        <w:tc>
          <w:tcPr>
            <w:tcW w:type="dxa" w:w="26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横梁中央のノッチ</w:t>
            </w:r>
          </w:p>
        </w:tc>
        <w:tc>
          <w:tcPr>
            <w:tcW w:type="dxa" w:w="6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光の入口・通過点の微細な印</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柱の外向きの開き</w:t>
            </w:r>
          </w:p>
        </w:tc>
        <w:tc>
          <w:tcPr>
            <w:tcW w:type="dxa" w:w="6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受け入れと解放・境界の先への広がり</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10</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Design Rationale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ロゴ設計思想</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現行ロゴはv1.1「光学調整版」である。数値上の正確さよりも、人間の目が感じる視覚的バランスを優先して微調整されている。機械的な対称は、しばしば人の目には不均衡に見えるためである。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v1.1で行った光学調整の意図</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横梁の厚みをわずかに細く（−5%）し、上部の重さを軽減して全体の浮遊感を確保した。</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ノッチを浅く（深さ−20%）し、遠距離・小サイズでの視認性を保ちつつ「光の入口」を示唆した。</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柱の開きを+0.5°広げ、門としての開放感と「境界の先」への広がりを強めた。</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柱をわずかに太く（+5%）し、小サイズ（16px近辺）での安定感を高めた。</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赤い核を+1%拡大し、さらに上方へ微調整して、視覚的重心を最適化した。</w:t>
      </w:r>
    </w:p>
    <w:p>
      <w:pPr>
        <w:spacing w:after="120" w:before="0" w:line="312" w:lineRule="auto"/>
        <w:jc w:val="both"/>
      </w:pPr>
      <w:r>
        <w:rPr>
          <w:rFonts w:ascii="Helvetica Neue" w:eastAsia="Yu Gothic" w:hAnsi="Helvetica Neue"/>
          <w:b/>
          <w:bCs/>
          <w:i w:val="false"/>
          <w:iCs w:val="false"/>
          <w:caps w:val="false"/>
          <w:color w:val="D91E18"/>
          <w:sz w:val="20"/>
          <w:szCs w:val="20"/>
        </w:rPr>
        <w:t xml:space="preserve">原則: </w:t>
      </w:r>
      <w:r>
        <w:rPr>
          <w:rFonts w:ascii="Helvetica Neue" w:eastAsia="Yu Gothic" w:hAnsi="Helvetica Neue"/>
          <w:b w:val="false"/>
          <w:bCs w:val="false"/>
          <w:i w:val="false"/>
          <w:iCs w:val="false"/>
          <w:caps w:val="false"/>
          <w:color w:val="111111"/>
          <w:sz w:val="20"/>
          <w:szCs w:val="20"/>
        </w:rPr>
        <w:t xml:space="preserve">これらは「比率基準」である。実制作時は必ずベクター（SVG／AI）で再現し、ビットマップの拡大流用を禁止する。</w:t>
      </w:r>
    </w:p>
    <w:p>
      <w:pPr>
        <w:keepNext/>
        <w:spacing w:after="0" w:before="360"/>
      </w:pPr>
      <w:r>
        <w:rPr>
          <w:rFonts w:ascii="Helvetica Neue" w:eastAsia="Yu Gothic" w:hAnsi="Helvetica Neue"/>
          <w:b/>
          <w:bCs/>
          <w:i w:val="false"/>
          <w:iCs w:val="false"/>
          <w:caps w:val="false"/>
          <w:color w:val="D91E18"/>
          <w:spacing w:val="40"/>
          <w:sz w:val="22"/>
          <w:szCs w:val="22"/>
        </w:rPr>
        <w:t xml:space="preserve">11</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Construction &amp; Specifications</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ロゴ構築ルール</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ロゴは1000×1000pxの基準グリッド上で、ロゴ本体を100ユニット基準として構築する。下表の数値仕様を唯一の正とする。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2400"/>
        <w:gridCol w:w="4200"/>
        <w:gridCol w:w="2200"/>
      </w:tblGrid>
      <w:tr>
        <w:trPr>
          <w:tblHeader/>
        </w:trPr>
        <w:tc>
          <w:tcPr>
            <w:tcW w:type="dxa" w:w="5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w:t>
            </w:r>
          </w:p>
        </w:tc>
        <w:tc>
          <w:tcPr>
            <w:tcW w:type="dxa" w:w="2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項目</w:t>
            </w:r>
          </w:p>
        </w:tc>
        <w:tc>
          <w:tcPr>
            <w:tcW w:type="dxa" w:w="4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数値（100ユニット基準）</w:t>
            </w:r>
          </w:p>
        </w:tc>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v1.1調整</w:t>
            </w:r>
          </w:p>
        </w:tc>
      </w:tr>
      <w:tr>
        <w:tc>
          <w:tcPr>
            <w:tcW w:type="dxa" w:w="5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1</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横棒 長さ</w:t>
            </w:r>
          </w:p>
        </w:tc>
        <w:tc>
          <w:tcPr>
            <w:tcW w:type="dxa" w:w="4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100</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変更なし</w:t>
            </w:r>
          </w:p>
        </w:tc>
      </w:tr>
      <w:tr>
        <w:tc>
          <w:tcPr>
            <w:tcW w:type="dxa" w:w="5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2</w:t>
            </w:r>
          </w:p>
        </w:tc>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横棒 厚み</w:t>
            </w:r>
          </w:p>
        </w:tc>
        <w:tc>
          <w:tcPr>
            <w:tcW w:type="dxa" w:w="4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11.4</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−0.6（−5%）</w:t>
            </w:r>
          </w:p>
        </w:tc>
      </w:tr>
      <w:tr>
        <w:tc>
          <w:tcPr>
            <w:tcW w:type="dxa" w:w="5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3</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ノッチ 幅</w:t>
            </w:r>
          </w:p>
        </w:tc>
        <w:tc>
          <w:tcPr>
            <w:tcW w:type="dxa" w:w="4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4</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変更なし</w:t>
            </w:r>
          </w:p>
        </w:tc>
      </w:tr>
      <w:tr>
        <w:tc>
          <w:tcPr>
            <w:tcW w:type="dxa" w:w="5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4</w:t>
            </w:r>
          </w:p>
        </w:tc>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ノッチ 深さ</w:t>
            </w:r>
          </w:p>
        </w:tc>
        <w:tc>
          <w:tcPr>
            <w:tcW w:type="dxa" w:w="4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1.6</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−0.4（−20%・浅く）</w:t>
            </w:r>
          </w:p>
        </w:tc>
      </w:tr>
      <w:tr>
        <w:tc>
          <w:tcPr>
            <w:tcW w:type="dxa" w:w="5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5</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縦線 角度</w:t>
            </w:r>
          </w:p>
        </w:tc>
        <w:tc>
          <w:tcPr>
            <w:tcW w:type="dxa" w:w="4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外側へ 4.5°</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+0.5°（開きを微増）</w:t>
            </w:r>
          </w:p>
        </w:tc>
      </w:tr>
      <w:tr>
        <w:tc>
          <w:tcPr>
            <w:tcW w:type="dxa" w:w="5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6</w:t>
            </w:r>
          </w:p>
        </w:tc>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縦線 厚み</w:t>
            </w:r>
          </w:p>
        </w:tc>
        <w:tc>
          <w:tcPr>
            <w:tcW w:type="dxa" w:w="4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10.5</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+0.5（+5%）</w:t>
            </w:r>
          </w:p>
        </w:tc>
      </w:tr>
      <w:tr>
        <w:tc>
          <w:tcPr>
            <w:tcW w:type="dxa" w:w="5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7</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縦線 間隔</w:t>
            </w:r>
          </w:p>
        </w:tc>
        <w:tc>
          <w:tcPr>
            <w:tcW w:type="dxa" w:w="4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41.5</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−0.5（−1.2%）</w:t>
            </w:r>
          </w:p>
        </w:tc>
      </w:tr>
      <w:tr>
        <w:tc>
          <w:tcPr>
            <w:tcW w:type="dxa" w:w="5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8</w:t>
            </w:r>
          </w:p>
        </w:tc>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赤点 サイズ</w:t>
            </w:r>
          </w:p>
        </w:tc>
        <w:tc>
          <w:tcPr>
            <w:tcW w:type="dxa" w:w="4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直径 10.1</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+0.1（+1%）</w:t>
            </w:r>
          </w:p>
        </w:tc>
      </w:tr>
      <w:tr>
        <w:tc>
          <w:tcPr>
            <w:tcW w:type="dxa" w:w="5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9</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赤点 位置</w:t>
            </w:r>
          </w:p>
        </w:tc>
        <w:tc>
          <w:tcPr>
            <w:tcW w:type="dxa" w:w="4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中心から 右0 / 上へ5.5</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+0.5（上方へ微調整）</w:t>
            </w:r>
          </w:p>
        </w:tc>
      </w:tr>
      <w:tr>
        <w:tc>
          <w:tcPr>
            <w:tcW w:type="dxa" w:w="5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10</w:t>
            </w:r>
          </w:p>
        </w:tc>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保護エリア</w:t>
            </w:r>
          </w:p>
        </w:tc>
        <w:tc>
          <w:tcPr>
            <w:tcW w:type="dxa" w:w="4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赤点直径1個分（10.1ユニット）</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+0.1（合わせて調整）</w:t>
            </w:r>
          </w:p>
        </w:tc>
      </w:tr>
      <w:tr>
        <w:tc>
          <w:tcPr>
            <w:tcW w:type="dxa" w:w="5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11</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最小使用サイズ</w:t>
            </w:r>
          </w:p>
        </w:tc>
        <w:tc>
          <w:tcPr>
            <w:tcW w:type="dxa" w:w="4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印刷15mm以上／WEB32px推奨（下限16px）</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変更なし</w:t>
            </w:r>
          </w:p>
        </w:tc>
      </w:tr>
    </w:tbl>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40" w:before="80"/>
        <w:jc w:val="center"/>
      </w:pPr>
      <w:r>
        <w:drawing>
          <wp:inline distT="0" distB="0" distL="0" distR="0">
            <wp:extent cx="4476750" cy="4476750"/>
            <wp:effectExtent t="0" r="0" b="0" l="0"/>
            <wp:docPr id="1" name="phosara" descr="PHOSARA brand asset" title="PHOS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476750"/>
                    </a:xfrm>
                    <a:prstGeom prst="rect">
                      <a:avLst/>
                    </a:prstGeom>
                  </pic:spPr>
                </pic:pic>
              </a:graphicData>
            </a:graphic>
          </wp:inline>
        </w:drawing>
      </w:r>
    </w:p>
    <w:p>
      <w:pPr>
        <w:spacing w:after="160" w:before="60"/>
        <w:jc w:val="center"/>
      </w:pPr>
      <w:r>
        <w:rPr>
          <w:rFonts w:ascii="Helvetica Neue" w:eastAsia="Yu Gothic" w:hAnsi="Helvetica Neue"/>
          <w:b w:val="false"/>
          <w:bCs w:val="false"/>
          <w:i w:val="false"/>
          <w:iCs w:val="false"/>
          <w:caps w:val="false"/>
          <w:color w:val="9A958C"/>
          <w:sz w:val="17"/>
          <w:szCs w:val="17"/>
        </w:rPr>
        <w:t xml:space="preserve">PHOSARA ロゴ設計図（v1.1 光学調整版）— 公式構築仕様図</w:t>
      </w:r>
    </w:p>
    <w:p>
      <w:pPr>
        <w:keepNext/>
        <w:spacing w:after="0" w:before="360"/>
      </w:pPr>
      <w:r>
        <w:rPr>
          <w:rFonts w:ascii="Helvetica Neue" w:eastAsia="Yu Gothic" w:hAnsi="Helvetica Neue"/>
          <w:b/>
          <w:bCs/>
          <w:i w:val="false"/>
          <w:iCs w:val="false"/>
          <w:caps w:val="false"/>
          <w:color w:val="D91E18"/>
          <w:spacing w:val="40"/>
          <w:sz w:val="22"/>
          <w:szCs w:val="22"/>
        </w:rPr>
        <w:t xml:space="preserve">12</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Clear Space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クリアスペース規定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ロゴの周囲には、他要素を一切配置しない保護エリア（クリアスペース）を確保する。基準は赤点直径1個分（10.1ユニット）。ロゴの最外周から、上下左右すべてにこの距離以上の余白を取る。</w:t>
      </w:r>
    </w:p>
    <w:p>
      <w:pPr>
        <w:spacing w:after="40" w:before="80"/>
        <w:jc w:val="center"/>
      </w:pPr>
      <w:r>
        <w:drawing>
          <wp:inline distT="0" distB="0" distL="0" distR="0">
            <wp:extent cx="2857500" cy="3038475"/>
            <wp:effectExtent t="0" r="0" b="0" l="0"/>
            <wp:docPr id="1" name="phosara" descr="PHOSARA brand asset" title="PHOSA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038475"/>
                    </a:xfrm>
                    <a:prstGeom prst="rect">
                      <a:avLst/>
                    </a:prstGeom>
                  </pic:spPr>
                </pic:pic>
              </a:graphicData>
            </a:graphic>
          </wp:inline>
        </w:drawing>
      </w:r>
    </w:p>
    <w:p>
      <w:pPr>
        <w:spacing w:after="160" w:before="60"/>
        <w:jc w:val="center"/>
      </w:pPr>
      <w:r>
        <w:rPr>
          <w:rFonts w:ascii="Helvetica Neue" w:eastAsia="Yu Gothic" w:hAnsi="Helvetica Neue"/>
          <w:b w:val="false"/>
          <w:bCs w:val="false"/>
          <w:i w:val="false"/>
          <w:iCs w:val="false"/>
          <w:caps w:val="false"/>
          <w:color w:val="9A958C"/>
          <w:sz w:val="17"/>
          <w:szCs w:val="17"/>
        </w:rPr>
        <w:t xml:space="preserve">保護エリア：ロゴ最外周から赤点直径1個分（10.1ユニット）以上の余白を四方に確保する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ロゴの上下左右に 10.1ユニット以上の余白を確保したか。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保護エリア内に文字・画像・罫線・他ロゴを置いていないか。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紙面端・画面端からも保護エリア相当の距離を確保したか。</w:t>
      </w:r>
    </w:p>
    <w:p>
      <w:pPr>
        <w:keepNext/>
        <w:spacing w:after="0" w:before="360"/>
      </w:pPr>
      <w:r>
        <w:rPr>
          <w:rFonts w:ascii="Helvetica Neue" w:eastAsia="Yu Gothic" w:hAnsi="Helvetica Neue"/>
          <w:b/>
          <w:bCs/>
          <w:i w:val="false"/>
          <w:iCs w:val="false"/>
          <w:caps w:val="false"/>
          <w:color w:val="D91E18"/>
          <w:spacing w:val="40"/>
          <w:sz w:val="22"/>
          <w:szCs w:val="22"/>
        </w:rPr>
        <w:t xml:space="preserve">13</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Minimum Size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最小サイズ規定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視認性が破綻するサイズでの使用を禁止する。下限を下回る場合は、ロゴを使用しないか、媒体設計を見直す。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300"/>
        <w:gridCol w:w="2300"/>
        <w:gridCol w:w="2560"/>
      </w:tblGrid>
      <w:tr>
        <w:trPr>
          <w:tblHeader/>
        </w:trPr>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用途</w:t>
            </w:r>
          </w:p>
        </w:tc>
        <w:tc>
          <w:tcPr>
            <w:tcW w:type="dxa" w:w="23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推奨</w:t>
            </w:r>
          </w:p>
        </w:tc>
        <w:tc>
          <w:tcPr>
            <w:tcW w:type="dxa" w:w="23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絶対下限</w:t>
            </w:r>
          </w:p>
        </w:tc>
        <w:tc>
          <w:tcPr>
            <w:tcW w:type="dxa" w:w="25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備考</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印刷</w:t>
            </w:r>
          </w:p>
        </w:tc>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20mm以上</w:t>
            </w:r>
          </w:p>
        </w:tc>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15mm</w:t>
            </w:r>
          </w:p>
        </w:tc>
        <w:tc>
          <w:tcPr>
            <w:tcW w:type="dxa" w:w="25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箔・エンボス時は余裕を持たせる</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WEB／デジタル</w:t>
            </w:r>
          </w:p>
        </w:tc>
        <w:tc>
          <w:tcPr>
            <w:tcW w:type="dxa" w:w="23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32px以上</w:t>
            </w:r>
          </w:p>
        </w:tc>
        <w:tc>
          <w:tcPr>
            <w:tcW w:type="dxa" w:w="23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16px</w:t>
            </w:r>
          </w:p>
        </w:tc>
        <w:tc>
          <w:tcPr>
            <w:tcW w:type="dxa" w:w="25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16px未満は使用禁止</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動画・サイネージ</w:t>
            </w:r>
          </w:p>
        </w:tc>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高さ40px以上</w:t>
            </w:r>
          </w:p>
        </w:tc>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24px</w:t>
            </w:r>
          </w:p>
        </w:tc>
        <w:tc>
          <w:tcPr>
            <w:tcW w:type="dxa" w:w="25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圧縮劣化を見越して大きめに</w:t>
            </w:r>
          </w:p>
        </w:tc>
      </w:tr>
    </w:tbl>
    <w:p>
      <w:pPr>
        <w:spacing w:after="120" w:before="0" w:line="312" w:lineRule="auto"/>
        <w:jc w:val="both"/>
      </w:pPr>
      <w:r>
        <w:rPr>
          <w:rFonts w:ascii="Helvetica Neue" w:eastAsia="Yu Gothic" w:hAnsi="Helvetica Neue"/>
          <w:b/>
          <w:bCs/>
          <w:i w:val="false"/>
          <w:iCs w:val="false"/>
          <w:caps w:val="false"/>
          <w:color w:val="D91E18"/>
          <w:sz w:val="20"/>
          <w:szCs w:val="20"/>
        </w:rPr>
        <w:t xml:space="preserve">警告: </w:t>
      </w:r>
      <w:r>
        <w:rPr>
          <w:rFonts w:ascii="Helvetica Neue" w:eastAsia="Yu Gothic" w:hAnsi="Helvetica Neue"/>
          <w:b w:val="false"/>
          <w:bCs w:val="false"/>
          <w:i w:val="false"/>
          <w:iCs w:val="false"/>
          <w:caps w:val="false"/>
          <w:color w:val="111111"/>
          <w:sz w:val="20"/>
          <w:szCs w:val="20"/>
        </w:rPr>
        <w:t xml:space="preserve">16px未満での使用は禁止する。視認性が著しく低下し、ブランドの品位を損なう。</w:t>
      </w:r>
    </w:p>
    <w:p>
      <w:pPr>
        <w:keepNext/>
        <w:spacing w:after="0" w:before="360"/>
      </w:pPr>
      <w:r>
        <w:rPr>
          <w:rFonts w:ascii="Helvetica Neue" w:eastAsia="Yu Gothic" w:hAnsi="Helvetica Neue"/>
          <w:b/>
          <w:bCs/>
          <w:i w:val="false"/>
          <w:iCs w:val="false"/>
          <w:caps w:val="false"/>
          <w:color w:val="D91E18"/>
          <w:spacing w:val="40"/>
          <w:sz w:val="22"/>
          <w:szCs w:val="22"/>
        </w:rPr>
        <w:t xml:space="preserve">14</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Approved Usage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ロゴ使用例</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承認された使用バリエーションは下記の通り。背景の明度に応じて適切な版を選択する。</w:t>
      </w:r>
    </w:p>
    <w:p>
      <w:pPr>
        <w:spacing w:after="60" w:before="60"/>
        <w:jc w:val="center"/>
      </w:pPr>
      <w:r>
        <w:drawing>
          <wp:inline distT="0" distB="0" distL="0" distR="0">
            <wp:extent cx="1143000" cy="1238250"/>
            <wp:effectExtent t="0" r="0" b="0" l="0"/>
            <wp:docPr id="1" name="a" descr="a" titl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143000" cy="1238250"/>
                    </a:xfrm>
                    <a:prstGeom prst="rect">
                      <a:avLst/>
                    </a:prstGeom>
                  </pic:spPr>
                </pic:pic>
              </a:graphicData>
            </a:graphic>
          </wp:inline>
        </w:drawing>
      </w:r>
      <w:r>
        <w:t xml:space="preserve">    </w:t>
      </w:r>
      <w:r>
        <w:drawing>
          <wp:inline distT="0" distB="0" distL="0" distR="0">
            <wp:extent cx="1143000" cy="1238250"/>
            <wp:effectExtent t="0" r="0" b="0" l="0"/>
            <wp:docPr id="1" name="b" descr="b" titl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143000" cy="1238250"/>
                    </a:xfrm>
                    <a:prstGeom prst="rect">
                      <a:avLst/>
                    </a:prstGeom>
                  </pic:spPr>
                </pic:pic>
              </a:graphicData>
            </a:graphic>
          </wp:inline>
        </w:drawing>
      </w:r>
      <w:r>
        <w:t xml:space="preserve">    </w:t>
      </w:r>
      <w:r>
        <w:drawing>
          <wp:inline distT="0" distB="0" distL="0" distR="0">
            <wp:extent cx="1143000" cy="1238250"/>
            <wp:effectExtent t="0" r="0" b="0" l="0"/>
            <wp:docPr id="1" name="c" descr="c" titl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143000" cy="1238250"/>
                    </a:xfrm>
                    <a:prstGeom prst="rect">
                      <a:avLst/>
                    </a:prstGeom>
                  </pic:spPr>
                </pic:pic>
              </a:graphicData>
            </a:graphic>
          </wp:inline>
        </w:drawing>
      </w:r>
    </w:p>
    <w:p>
      <w:pPr>
        <w:spacing w:after="160" w:before="60"/>
        <w:jc w:val="center"/>
      </w:pPr>
      <w:r>
        <w:rPr>
          <w:rFonts w:ascii="Helvetica Neue" w:eastAsia="Yu Gothic" w:hAnsi="Helvetica Neue"/>
          <w:b w:val="false"/>
          <w:bCs w:val="false"/>
          <w:i w:val="false"/>
          <w:iCs w:val="false"/>
          <w:caps w:val="false"/>
          <w:color w:val="9A958C"/>
          <w:sz w:val="17"/>
          <w:szCs w:val="17"/>
        </w:rPr>
        <w:t xml:space="preserve">左：フルカラー（基本）／ 中：モノクロ（黒・単色使用時）／ 右：白抜き（濃色背景）</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400"/>
        <w:gridCol w:w="3660"/>
      </w:tblGrid>
      <w:tr>
        <w:trPr>
          <w:tblHeader/>
        </w:trPr>
        <w:tc>
          <w:tcPr>
            <w:tcW w:type="dxa" w:w="23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版</w:t>
            </w:r>
          </w:p>
        </w:tc>
        <w:tc>
          <w:tcPr>
            <w:tcW w:type="dxa" w:w="3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用途</w:t>
            </w:r>
          </w:p>
        </w:tc>
        <w:tc>
          <w:tcPr>
            <w:tcW w:type="dxa" w:w="36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使用条件</w:t>
            </w:r>
          </w:p>
        </w:tc>
      </w:tr>
      <w:tr>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フルカラー（基本）</w:t>
            </w:r>
          </w:p>
        </w:tc>
        <w:tc>
          <w:tcPr>
            <w:tcW w:type="dxa" w:w="3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明るい背景・主要用途すべて</w:t>
            </w:r>
          </w:p>
        </w:tc>
        <w:tc>
          <w:tcPr>
            <w:tcW w:type="dxa" w:w="36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原則これを第一選択とする</w:t>
            </w:r>
          </w:p>
        </w:tc>
      </w:tr>
      <w:tr>
        <w:tc>
          <w:tcPr>
            <w:tcW w:type="dxa" w:w="23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モノクロ（黒）</w:t>
            </w:r>
          </w:p>
        </w:tc>
        <w:tc>
          <w:tcPr>
            <w:tcW w:type="dxa" w:w="3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単色印刷・FAX・捺印・刻印</w:t>
            </w:r>
          </w:p>
        </w:tc>
        <w:tc>
          <w:tcPr>
            <w:tcW w:type="dxa" w:w="36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赤が再現できない媒体</w:t>
            </w:r>
          </w:p>
        </w:tc>
      </w:tr>
      <w:tr>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白抜き（反転）</w:t>
            </w:r>
          </w:p>
        </w:tc>
        <w:tc>
          <w:tcPr>
            <w:tcW w:type="dxa" w:w="3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濃色・写真上・黒背景</w:t>
            </w:r>
          </w:p>
        </w:tc>
        <w:tc>
          <w:tcPr>
            <w:tcW w:type="dxa" w:w="36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背景明度が十分に低い場合</w:t>
            </w:r>
          </w:p>
        </w:tc>
      </w:tr>
      <w:tr>
        <w:tc>
          <w:tcPr>
            <w:tcW w:type="dxa" w:w="23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単色（背景色上）</w:t>
            </w:r>
          </w:p>
        </w:tc>
        <w:tc>
          <w:tcPr>
            <w:tcW w:type="dxa" w:w="3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ブランドカラー地・濃色地</w:t>
            </w:r>
          </w:p>
        </w:tc>
        <w:tc>
          <w:tcPr>
            <w:tcW w:type="dxa" w:w="36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コントラスト比4.5:1以上を確保</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15</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Misuse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ロゴ使用禁止例</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以下はすべて禁止である。例外は認めない。ロゴの改変は、ブランド資産の毀損とみなす。</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縦横比を変える（伸縮・圧縮する）。</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色を変更する（指定外の色、グラデーション、写真の塗り込み）。</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回転・傾斜・反転（鏡像）させる。</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影・光彩・縁取り・立体加工などの効果を付加する。</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構成要素（柱・梁・核・ノッチ）の位置や比率を変える。</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赤い核を削除・移動・別色に変更する。</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保護エリアを侵して他要素を近接させる。</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低コントラストの背景に重ね、視認性を損なう。</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ビットマップを拡大し、輪郭を荒らす。</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他の図形・文字と結合し、新たなマークを作る。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上記いずれの改変も行っていないことを、書き出し前に確認したか。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ベクター原本から書き出した正規データを使用しているか。</w:t>
      </w:r>
    </w:p>
    <w:p>
      <w:pPr>
        <w:pageBreakBefore/>
        <w:spacing w:after="0" w:before="2400"/>
      </w:pPr>
      <w:r>
        <w:rPr>
          <w:rFonts w:ascii="Helvetica Neue" w:eastAsia="Yu Gothic" w:hAnsi="Helvetica Neue"/>
          <w:b/>
          <w:bCs/>
          <w:i w:val="false"/>
          <w:iCs w:val="false"/>
          <w:caps/>
          <w:color w:val="D91E18"/>
          <w:spacing w:val="80"/>
          <w:sz w:val="28"/>
          <w:szCs w:val="28"/>
        </w:rPr>
        <w:t xml:space="preserve">PART III</w:t>
      </w:r>
    </w:p>
    <w:p>
      <w:pPr>
        <w:pBdr>
          <w:bottom w:val="single" w:color="111111" w:sz="14" w:space="12"/>
        </w:pBdr>
        <w:spacing w:after="0" w:before="60"/>
      </w:pPr>
      <w:r>
        <w:rPr>
          <w:rFonts w:ascii="Helvetica Neue" w:eastAsia="Yu Gothic" w:hAnsi="Helvetica Neue"/>
          <w:b w:val="false"/>
          <w:bCs w:val="false"/>
          <w:i w:val="false"/>
          <w:iCs w:val="false"/>
          <w:caps w:val="false"/>
          <w:color w:val="5E5E5E"/>
          <w:spacing w:val="40"/>
          <w:sz w:val="26"/>
          <w:szCs w:val="26"/>
        </w:rPr>
        <w:t xml:space="preserve">Visual Identity</w:t>
      </w:r>
    </w:p>
    <w:p>
      <w:pPr>
        <w:pStyle w:val="Heading1"/>
        <w:spacing w:after="120" w:before="220"/>
      </w:pPr>
      <w:r>
        <w:rPr>
          <w:rFonts w:ascii="Helvetica Neue" w:eastAsia="Yu Gothic" w:hAnsi="Helvetica Neue"/>
          <w:b/>
          <w:bCs/>
          <w:i w:val="false"/>
          <w:iCs w:val="false"/>
          <w:caps w:val="false"/>
          <w:color w:val="111111"/>
          <w:sz w:val="48"/>
          <w:szCs w:val="48"/>
        </w:rPr>
        <w:t xml:space="preserve">ビジュアル・アイデンティティ</w:t>
      </w:r>
    </w:p>
    <w:p>
      <w:pPr>
        <w:spacing w:after="200" w:before="60"/>
      </w:pPr>
      <w:r>
        <w:rPr>
          <w:rFonts w:ascii="Helvetica Neue" w:eastAsia="Yu Gothic" w:hAnsi="Helvetica Neue"/>
          <w:b w:val="false"/>
          <w:bCs w:val="false"/>
          <w:i w:val="false"/>
          <w:iCs w:val="false"/>
          <w:caps w:val="false"/>
          <w:color w:val="5E5E5E"/>
          <w:sz w:val="21"/>
          <w:szCs w:val="21"/>
        </w:rPr>
        <w:t xml:space="preserve">色・文字・余白・写真。PHOSARAの「見え方」を構成する全要素の基準を定義する。</w:t>
      </w:r>
    </w:p>
    <w:p>
      <w:pPr>
        <w:keepNext/>
        <w:spacing w:after="0" w:before="360"/>
      </w:pPr>
      <w:r>
        <w:rPr>
          <w:rFonts w:ascii="Helvetica Neue" w:eastAsia="Yu Gothic" w:hAnsi="Helvetica Neue"/>
          <w:b/>
          <w:bCs/>
          <w:i w:val="false"/>
          <w:iCs w:val="false"/>
          <w:caps w:val="false"/>
          <w:color w:val="D91E18"/>
          <w:spacing w:val="40"/>
          <w:sz w:val="22"/>
          <w:szCs w:val="22"/>
        </w:rPr>
        <w:t xml:space="preserve">16</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Color System</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カラーシステム</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PHOSARAの色は「墨（INK）」「灯（RED）」「余白（PAPER）」を基軸とする。基調は静寂な無彩色であり、赤は可視化の一点として極めて限定的に用いる。色数を抑えることが、PHOSARAらしさの条件である。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2400"/>
        <w:gridCol w:w="2400"/>
        <w:gridCol w:w="3460"/>
      </w:tblGrid>
      <w:tr>
        <w:trPr>
          <w:tblHeader/>
        </w:trPr>
        <w:tc>
          <w:tcPr>
            <w:tcW w:type="dxa" w:w="11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bCs/>
                <w:i w:val="false"/>
                <w:iCs w:val="false"/>
                <w:caps w:val="false"/>
                <w:color w:val="FFFFFF"/>
                <w:sz w:val="19"/>
                <w:szCs w:val="19"/>
              </w:rPr>
              <w:t xml:space="preserve">色見本</w:t>
            </w:r>
          </w:p>
        </w:tc>
        <w:tc>
          <w:tcPr>
            <w:tcW w:type="dxa" w:w="2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名称</w:t>
            </w:r>
          </w:p>
        </w:tc>
        <w:tc>
          <w:tcPr>
            <w:tcW w:type="dxa" w:w="2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HEX</w:t>
            </w:r>
          </w:p>
        </w:tc>
        <w:tc>
          <w:tcPr>
            <w:tcW w:type="dxa" w:w="34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役割</w:t>
            </w:r>
          </w:p>
        </w:tc>
      </w:tr>
      <w:tr>
        <w:tc>
          <w:tcPr>
            <w:tcW w:type="dxa" w:w="1100"/>
            <w:tcBorders>
              <w:top w:val="single" w:color="DAD7D0" w:sz="2"/>
              <w:left w:val="single" w:color="DAD7D0" w:sz="2"/>
              <w:bottom w:val="single" w:color="DAD7D0" w:sz="2"/>
              <w:right w:val="single" w:color="DAD7D0" w:sz="2"/>
            </w:tcBorders>
            <w:shd w:fill="111111" w:color="auto" w:val="clear"/>
            <w:tcMar>
              <w:top w:type="dxa" w:w="160"/>
              <w:left w:type="dxa" w:w="60"/>
              <w:bottom w:type="dxa" w:w="160"/>
              <w:right w:type="dxa" w:w="60"/>
            </w:tcMar>
          </w:tcPr>
          <w:p>
            <w:r>
              <w:rPr>
                <w:rFonts w:ascii="Helvetica Neue" w:eastAsia="Yu Gothic" w:hAnsi="Helvetica Neue"/>
                <w:b w:val="false"/>
                <w:bCs w:val="false"/>
                <w:i w:val="false"/>
                <w:iCs w:val="false"/>
                <w:caps w:val="false"/>
                <w:color w:val="111111"/>
                <w:sz w:val="2"/>
                <w:szCs w:val="2"/>
              </w:rPr>
              <w:t xml:space="preserve"/>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 Black｜墨</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#111111</w:t>
            </w:r>
          </w:p>
        </w:tc>
        <w:tc>
          <w:tcPr>
            <w:tcW w:type="dxa" w:w="34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基調色・ロゴ・文字・主要面</w:t>
            </w:r>
          </w:p>
        </w:tc>
      </w:tr>
      <w:tr>
        <w:tc>
          <w:tcPr>
            <w:tcW w:type="dxa" w:w="1100"/>
            <w:tcBorders>
              <w:top w:val="single" w:color="DAD7D0" w:sz="2"/>
              <w:left w:val="single" w:color="DAD7D0" w:sz="2"/>
              <w:bottom w:val="single" w:color="DAD7D0" w:sz="2"/>
              <w:right w:val="single" w:color="DAD7D0" w:sz="2"/>
            </w:tcBorders>
            <w:shd w:fill="D91E18" w:color="auto" w:val="clear"/>
            <w:tcMar>
              <w:top w:type="dxa" w:w="160"/>
              <w:left w:type="dxa" w:w="60"/>
              <w:bottom w:type="dxa" w:w="160"/>
              <w:right w:type="dxa" w:w="60"/>
            </w:tcMar>
          </w:tcPr>
          <w:p>
            <w:r>
              <w:rPr>
                <w:rFonts w:ascii="Helvetica Neue" w:eastAsia="Yu Gothic" w:hAnsi="Helvetica Neue"/>
                <w:b w:val="false"/>
                <w:bCs w:val="false"/>
                <w:i w:val="false"/>
                <w:iCs w:val="false"/>
                <w:caps w:val="false"/>
                <w:color w:val="111111"/>
                <w:sz w:val="2"/>
                <w:szCs w:val="2"/>
              </w:rPr>
              <w:t xml:space="preserve"/>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 Red｜灯</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#D91E18</w:t>
            </w:r>
          </w:p>
        </w:tc>
        <w:tc>
          <w:tcPr>
            <w:tcW w:type="dxa" w:w="34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アクセント・核・強調（最小限）</w:t>
            </w:r>
          </w:p>
        </w:tc>
      </w:tr>
      <w:tr>
        <w:tc>
          <w:tcPr>
            <w:tcW w:type="dxa" w:w="1100"/>
            <w:tcBorders>
              <w:top w:val="single" w:color="DAD7D0" w:sz="2"/>
              <w:left w:val="single" w:color="DAD7D0" w:sz="2"/>
              <w:bottom w:val="single" w:color="DAD7D0" w:sz="2"/>
              <w:right w:val="single" w:color="DAD7D0" w:sz="2"/>
            </w:tcBorders>
            <w:shd w:fill="F5F3EF" w:color="auto" w:val="clear"/>
            <w:tcMar>
              <w:top w:type="dxa" w:w="160"/>
              <w:left w:type="dxa" w:w="60"/>
              <w:bottom w:type="dxa" w:w="160"/>
              <w:right w:type="dxa" w:w="60"/>
            </w:tcMar>
          </w:tcPr>
          <w:p>
            <w:r>
              <w:rPr>
                <w:rFonts w:ascii="Helvetica Neue" w:eastAsia="Yu Gothic" w:hAnsi="Helvetica Neue"/>
                <w:b w:val="false"/>
                <w:bCs w:val="false"/>
                <w:i w:val="false"/>
                <w:iCs w:val="false"/>
                <w:caps w:val="false"/>
                <w:color w:val="111111"/>
                <w:sz w:val="2"/>
                <w:szCs w:val="2"/>
              </w:rPr>
              <w:t xml:space="preserve"/>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Paper｜余白白</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#F5F3EF</w:t>
            </w:r>
          </w:p>
        </w:tc>
        <w:tc>
          <w:tcPr>
            <w:tcW w:type="dxa" w:w="34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背景・余白・静寂の地</w:t>
            </w:r>
          </w:p>
        </w:tc>
      </w:tr>
      <w:tr>
        <w:tc>
          <w:tcPr>
            <w:tcW w:type="dxa" w:w="1100"/>
            <w:tcBorders>
              <w:top w:val="single" w:color="DAD7D0" w:sz="2"/>
              <w:left w:val="single" w:color="DAD7D0" w:sz="2"/>
              <w:bottom w:val="single" w:color="DAD7D0" w:sz="2"/>
              <w:right w:val="single" w:color="DAD7D0" w:sz="2"/>
            </w:tcBorders>
            <w:shd w:fill="5E5E5E" w:color="auto" w:val="clear"/>
            <w:tcMar>
              <w:top w:type="dxa" w:w="160"/>
              <w:left w:type="dxa" w:w="60"/>
              <w:bottom w:type="dxa" w:w="160"/>
              <w:right w:type="dxa" w:w="60"/>
            </w:tcMar>
          </w:tcPr>
          <w:p>
            <w:r>
              <w:rPr>
                <w:rFonts w:ascii="Helvetica Neue" w:eastAsia="Yu Gothic" w:hAnsi="Helvetica Neue"/>
                <w:b w:val="false"/>
                <w:bCs w:val="false"/>
                <w:i w:val="false"/>
                <w:iCs w:val="false"/>
                <w:caps w:val="false"/>
                <w:color w:val="111111"/>
                <w:sz w:val="2"/>
                <w:szCs w:val="2"/>
              </w:rPr>
              <w:t xml:space="preserve"/>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Ash｜灰墨</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#5E5E5E</w:t>
            </w:r>
          </w:p>
        </w:tc>
        <w:tc>
          <w:tcPr>
            <w:tcW w:type="dxa" w:w="34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副次テキスト・補助情報</w:t>
            </w:r>
          </w:p>
        </w:tc>
      </w:tr>
      <w:tr>
        <w:tc>
          <w:tcPr>
            <w:tcW w:type="dxa" w:w="1100"/>
            <w:tcBorders>
              <w:top w:val="single" w:color="DAD7D0" w:sz="2"/>
              <w:left w:val="single" w:color="DAD7D0" w:sz="2"/>
              <w:bottom w:val="single" w:color="DAD7D0" w:sz="2"/>
              <w:right w:val="single" w:color="DAD7D0" w:sz="2"/>
            </w:tcBorders>
            <w:shd w:fill="9A958C" w:color="auto" w:val="clear"/>
            <w:tcMar>
              <w:top w:type="dxa" w:w="160"/>
              <w:left w:type="dxa" w:w="60"/>
              <w:bottom w:type="dxa" w:w="160"/>
              <w:right w:type="dxa" w:w="60"/>
            </w:tcMar>
          </w:tcPr>
          <w:p>
            <w:r>
              <w:rPr>
                <w:rFonts w:ascii="Helvetica Neue" w:eastAsia="Yu Gothic" w:hAnsi="Helvetica Neue"/>
                <w:b w:val="false"/>
                <w:bCs w:val="false"/>
                <w:i w:val="false"/>
                <w:iCs w:val="false"/>
                <w:caps w:val="false"/>
                <w:color w:val="111111"/>
                <w:sz w:val="2"/>
                <w:szCs w:val="2"/>
              </w:rPr>
              <w:t xml:space="preserve"/>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Mist｜霞</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#9A958C</w:t>
            </w:r>
          </w:p>
        </w:tc>
        <w:tc>
          <w:tcPr>
            <w:tcW w:type="dxa" w:w="34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罫線・キャプション・補助線</w:t>
            </w:r>
          </w:p>
        </w:tc>
      </w:tr>
      <w:tr>
        <w:tc>
          <w:tcPr>
            <w:tcW w:type="dxa" w:w="1100"/>
            <w:tcBorders>
              <w:top w:val="single" w:color="DAD7D0" w:sz="2"/>
              <w:left w:val="single" w:color="DAD7D0" w:sz="2"/>
              <w:bottom w:val="single" w:color="DAD7D0" w:sz="2"/>
              <w:right w:val="single" w:color="DAD7D0" w:sz="2"/>
            </w:tcBorders>
            <w:shd w:fill="FFFFFF" w:color="auto" w:val="clear"/>
            <w:tcMar>
              <w:top w:type="dxa" w:w="160"/>
              <w:left w:type="dxa" w:w="60"/>
              <w:bottom w:type="dxa" w:w="160"/>
              <w:right w:type="dxa" w:w="60"/>
            </w:tcMar>
          </w:tcPr>
          <w:p>
            <w:r>
              <w:rPr>
                <w:rFonts w:ascii="Helvetica Neue" w:eastAsia="Yu Gothic" w:hAnsi="Helvetica Neue"/>
                <w:b w:val="false"/>
                <w:bCs w:val="false"/>
                <w:i w:val="false"/>
                <w:iCs w:val="false"/>
                <w:caps w:val="false"/>
                <w:color w:val="111111"/>
                <w:sz w:val="2"/>
                <w:szCs w:val="2"/>
              </w:rPr>
              <w:t xml:space="preserve"/>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White｜白</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#FFFFFF</w:t>
            </w:r>
          </w:p>
        </w:tc>
        <w:tc>
          <w:tcPr>
            <w:tcW w:type="dxa" w:w="34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反転・濃色地上のロゴ</w:t>
            </w:r>
          </w:p>
        </w:tc>
      </w:tr>
    </w:tbl>
    <w:p>
      <w:pPr>
        <w:spacing w:after="80" w:before="0"/>
      </w:pPr>
      <w:r>
        <w:rPr>
          <w:rFonts w:ascii="Helvetica Neue" w:eastAsia="Yu Gothic" w:hAnsi="Helvetica Neue"/>
          <w:b w:val="false"/>
          <w:bCs w:val="false"/>
          <w:i w:val="false"/>
          <w:iCs w:val="false"/>
          <w:caps w:val="false"/>
          <w:color w:val="111111"/>
          <w:sz w:val="2"/>
          <w:szCs w:val="2"/>
        </w:rPr>
        <w:t xml:space="preserve"/>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配色比率（黄金比率）</w:t>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一画面・一紙面における配色は、原則として下記比率を超えない。赤の使用は「一点」であることが望ましい。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2680"/>
        <w:gridCol w:w="2680"/>
      </w:tblGrid>
      <w:tr>
        <w:trPr>
          <w:tblHeader/>
        </w:trPr>
        <w:tc>
          <w:tcPr>
            <w:tcW w:type="dxa" w:w="4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色</w:t>
            </w:r>
          </w:p>
        </w:tc>
        <w:tc>
          <w:tcPr>
            <w:tcW w:type="dxa" w:w="268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推奨占有比率</w:t>
            </w:r>
          </w:p>
        </w:tc>
        <w:tc>
          <w:tcPr>
            <w:tcW w:type="dxa" w:w="268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運用上限</w:t>
            </w:r>
          </w:p>
        </w:tc>
      </w:tr>
      <w:tr>
        <w:tc>
          <w:tcPr>
            <w:tcW w:type="dxa" w:w="4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9"/>
                <w:szCs w:val="19"/>
              </w:rPr>
              <w:t xml:space="preserve">墨＋余白（無彩色）</w:t>
            </w:r>
          </w:p>
        </w:tc>
        <w:tc>
          <w:tcPr>
            <w:tcW w:type="dxa" w:w="26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約93%以上</w:t>
            </w:r>
          </w:p>
        </w:tc>
        <w:tc>
          <w:tcPr>
            <w:tcW w:type="dxa" w:w="26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w:t>
            </w:r>
          </w:p>
        </w:tc>
      </w:tr>
      <w:tr>
        <w:tc>
          <w:tcPr>
            <w:tcW w:type="dxa" w:w="4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D91E18"/>
                <w:sz w:val="19"/>
                <w:szCs w:val="19"/>
              </w:rPr>
              <w:t xml:space="preserve">灯（赤）</w:t>
            </w:r>
          </w:p>
        </w:tc>
        <w:tc>
          <w:tcPr>
            <w:tcW w:type="dxa" w:w="26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約3%</w:t>
            </w:r>
          </w:p>
        </w:tc>
        <w:tc>
          <w:tcPr>
            <w:tcW w:type="dxa" w:w="26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7%を超えない</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17</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RGB Values</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RGB規定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画面・デジタル媒体ではsRGBを基準とする。下記値を厳守する。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60"/>
        <w:gridCol w:w="2200"/>
        <w:gridCol w:w="1333"/>
        <w:gridCol w:w="1334"/>
        <w:gridCol w:w="1333"/>
      </w:tblGrid>
      <w:tr>
        <w:trPr>
          <w:tblHeader/>
        </w:trPr>
        <w:tc>
          <w:tcPr>
            <w:tcW w:type="dxa" w:w="31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色名</w:t>
            </w:r>
          </w:p>
        </w:tc>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HEX</w:t>
            </w:r>
          </w:p>
        </w:tc>
        <w:tc>
          <w:tcPr>
            <w:tcW w:type="dxa" w:w="1333"/>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R</w:t>
            </w:r>
          </w:p>
        </w:tc>
        <w:tc>
          <w:tcPr>
            <w:tcW w:type="dxa" w:w="1334"/>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G</w:t>
            </w:r>
          </w:p>
        </w:tc>
        <w:tc>
          <w:tcPr>
            <w:tcW w:type="dxa" w:w="1333"/>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B</w:t>
            </w:r>
          </w:p>
        </w:tc>
      </w:tr>
      <w:tr>
        <w:tc>
          <w:tcPr>
            <w:tcW w:type="dxa" w:w="3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 Black</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#111111</w:t>
            </w:r>
          </w:p>
        </w:tc>
        <w:tc>
          <w:tcPr>
            <w:tcW w:type="dxa" w:w="1333"/>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17</w:t>
            </w:r>
          </w:p>
        </w:tc>
        <w:tc>
          <w:tcPr>
            <w:tcW w:type="dxa" w:w="1334"/>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17</w:t>
            </w:r>
          </w:p>
        </w:tc>
        <w:tc>
          <w:tcPr>
            <w:tcW w:type="dxa" w:w="1333"/>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17</w:t>
            </w:r>
          </w:p>
        </w:tc>
      </w:tr>
      <w:tr>
        <w:tc>
          <w:tcPr>
            <w:tcW w:type="dxa" w:w="3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 Red</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#D91E18</w:t>
            </w:r>
          </w:p>
        </w:tc>
        <w:tc>
          <w:tcPr>
            <w:tcW w:type="dxa" w:w="1333"/>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217</w:t>
            </w:r>
          </w:p>
        </w:tc>
        <w:tc>
          <w:tcPr>
            <w:tcW w:type="dxa" w:w="1334"/>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30</w:t>
            </w:r>
          </w:p>
        </w:tc>
        <w:tc>
          <w:tcPr>
            <w:tcW w:type="dxa" w:w="1333"/>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24</w:t>
            </w:r>
          </w:p>
        </w:tc>
      </w:tr>
      <w:tr>
        <w:tc>
          <w:tcPr>
            <w:tcW w:type="dxa" w:w="3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Paper</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#F5F3EF</w:t>
            </w:r>
          </w:p>
        </w:tc>
        <w:tc>
          <w:tcPr>
            <w:tcW w:type="dxa" w:w="1333"/>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245</w:t>
            </w:r>
          </w:p>
        </w:tc>
        <w:tc>
          <w:tcPr>
            <w:tcW w:type="dxa" w:w="1334"/>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243</w:t>
            </w:r>
          </w:p>
        </w:tc>
        <w:tc>
          <w:tcPr>
            <w:tcW w:type="dxa" w:w="1333"/>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239</w:t>
            </w:r>
          </w:p>
        </w:tc>
      </w:tr>
      <w:tr>
        <w:tc>
          <w:tcPr>
            <w:tcW w:type="dxa" w:w="3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Ash</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#5E5E5E</w:t>
            </w:r>
          </w:p>
        </w:tc>
        <w:tc>
          <w:tcPr>
            <w:tcW w:type="dxa" w:w="1333"/>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94</w:t>
            </w:r>
          </w:p>
        </w:tc>
        <w:tc>
          <w:tcPr>
            <w:tcW w:type="dxa" w:w="1334"/>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94</w:t>
            </w:r>
          </w:p>
        </w:tc>
        <w:tc>
          <w:tcPr>
            <w:tcW w:type="dxa" w:w="1333"/>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94</w:t>
            </w:r>
          </w:p>
        </w:tc>
      </w:tr>
      <w:tr>
        <w:tc>
          <w:tcPr>
            <w:tcW w:type="dxa" w:w="3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Mist</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#9A958C</w:t>
            </w:r>
          </w:p>
        </w:tc>
        <w:tc>
          <w:tcPr>
            <w:tcW w:type="dxa" w:w="1333"/>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154</w:t>
            </w:r>
          </w:p>
        </w:tc>
        <w:tc>
          <w:tcPr>
            <w:tcW w:type="dxa" w:w="1334"/>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149</w:t>
            </w:r>
          </w:p>
        </w:tc>
        <w:tc>
          <w:tcPr>
            <w:tcW w:type="dxa" w:w="1333"/>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140</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18</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CMYK Values</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CMYK規定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印刷物（オフセット・オンデマンド）では下記CMYK値を基準とする。墨ベタは再現の安定性を優先し、リッチブラックは大面積のみ別途指定する。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900"/>
        <w:gridCol w:w="900"/>
        <w:gridCol w:w="900"/>
        <w:gridCol w:w="900"/>
        <w:gridCol w:w="2760"/>
      </w:tblGrid>
      <w:tr>
        <w:trPr>
          <w:tblHeader/>
        </w:trPr>
        <w:tc>
          <w:tcPr>
            <w:tcW w:type="dxa" w:w="3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色名</w:t>
            </w:r>
          </w:p>
        </w:tc>
        <w:tc>
          <w:tcPr>
            <w:tcW w:type="dxa" w:w="9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C</w:t>
            </w:r>
          </w:p>
        </w:tc>
        <w:tc>
          <w:tcPr>
            <w:tcW w:type="dxa" w:w="9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M</w:t>
            </w:r>
          </w:p>
        </w:tc>
        <w:tc>
          <w:tcPr>
            <w:tcW w:type="dxa" w:w="9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Y</w:t>
            </w:r>
          </w:p>
        </w:tc>
        <w:tc>
          <w:tcPr>
            <w:tcW w:type="dxa" w:w="9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K</w:t>
            </w:r>
          </w:p>
        </w:tc>
        <w:tc>
          <w:tcPr>
            <w:tcW w:type="dxa" w:w="27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備考</w:t>
            </w:r>
          </w:p>
        </w:tc>
      </w:tr>
      <w:tr>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PHOSARA Black</w:t>
            </w:r>
          </w:p>
        </w:tc>
        <w:tc>
          <w:tcPr>
            <w:tcW w:type="dxa" w:w="9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0</w:t>
            </w:r>
          </w:p>
        </w:tc>
        <w:tc>
          <w:tcPr>
            <w:tcW w:type="dxa" w:w="9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0</w:t>
            </w:r>
          </w:p>
        </w:tc>
        <w:tc>
          <w:tcPr>
            <w:tcW w:type="dxa" w:w="9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0</w:t>
            </w:r>
          </w:p>
        </w:tc>
        <w:tc>
          <w:tcPr>
            <w:tcW w:type="dxa" w:w="9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100</w:t>
            </w:r>
          </w:p>
        </w:tc>
        <w:tc>
          <w:tcPr>
            <w:tcW w:type="dxa" w:w="2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小文字・線はK100単色</w:t>
            </w:r>
          </w:p>
        </w:tc>
      </w:tr>
      <w:tr>
        <w:tc>
          <w:tcPr>
            <w:tcW w:type="dxa" w:w="3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PHOSARA Red</w:t>
            </w:r>
          </w:p>
        </w:tc>
        <w:tc>
          <w:tcPr>
            <w:tcW w:type="dxa" w:w="9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0</w:t>
            </w:r>
          </w:p>
        </w:tc>
        <w:tc>
          <w:tcPr>
            <w:tcW w:type="dxa" w:w="9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92</w:t>
            </w:r>
          </w:p>
        </w:tc>
        <w:tc>
          <w:tcPr>
            <w:tcW w:type="dxa" w:w="9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91</w:t>
            </w:r>
          </w:p>
        </w:tc>
        <w:tc>
          <w:tcPr>
            <w:tcW w:type="dxa" w:w="9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0</w:t>
            </w:r>
          </w:p>
        </w:tc>
        <w:tc>
          <w:tcPr>
            <w:tcW w:type="dxa" w:w="2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特色再現を優先（次項参照）</w:t>
            </w:r>
          </w:p>
        </w:tc>
      </w:tr>
      <w:tr>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Paper（紙白）</w:t>
            </w:r>
          </w:p>
        </w:tc>
        <w:tc>
          <w:tcPr>
            <w:tcW w:type="dxa" w:w="9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w:t>
            </w:r>
          </w:p>
        </w:tc>
        <w:tc>
          <w:tcPr>
            <w:tcW w:type="dxa" w:w="9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w:t>
            </w:r>
          </w:p>
        </w:tc>
        <w:tc>
          <w:tcPr>
            <w:tcW w:type="dxa" w:w="9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w:t>
            </w:r>
          </w:p>
        </w:tc>
        <w:tc>
          <w:tcPr>
            <w:tcW w:type="dxa" w:w="9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w:t>
            </w:r>
          </w:p>
        </w:tc>
        <w:tc>
          <w:tcPr>
            <w:tcW w:type="dxa" w:w="2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用紙地色を活かす</w:t>
            </w:r>
          </w:p>
        </w:tc>
      </w:tr>
      <w:tr>
        <w:tc>
          <w:tcPr>
            <w:tcW w:type="dxa" w:w="3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リッチブラック（大面積）</w:t>
            </w:r>
          </w:p>
        </w:tc>
        <w:tc>
          <w:tcPr>
            <w:tcW w:type="dxa" w:w="9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40</w:t>
            </w:r>
          </w:p>
        </w:tc>
        <w:tc>
          <w:tcPr>
            <w:tcW w:type="dxa" w:w="9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30</w:t>
            </w:r>
          </w:p>
        </w:tc>
        <w:tc>
          <w:tcPr>
            <w:tcW w:type="dxa" w:w="9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30</w:t>
            </w:r>
          </w:p>
        </w:tc>
        <w:tc>
          <w:tcPr>
            <w:tcW w:type="dxa" w:w="9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8"/>
                <w:szCs w:val="18"/>
              </w:rPr>
              <w:t xml:space="preserve">100</w:t>
            </w:r>
          </w:p>
        </w:tc>
        <w:tc>
          <w:tcPr>
            <w:tcW w:type="dxa" w:w="2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広い墨ベタのみ使用</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19</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Pantone References</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Pantone推奨値</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特色印刷・ブランドカラーの厳密再現が必要な場合は、下記Pantoneを推奨する。最終決定は必ず実機・色校正で確認する（モニター値とは差異が生じる）。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2880"/>
        <w:gridCol w:w="1800"/>
        <w:gridCol w:w="2280"/>
      </w:tblGrid>
      <w:tr>
        <w:trPr>
          <w:tblHeader/>
        </w:trPr>
        <w:tc>
          <w:tcPr>
            <w:tcW w:type="dxa" w:w="2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色名</w:t>
            </w:r>
          </w:p>
        </w:tc>
        <w:tc>
          <w:tcPr>
            <w:tcW w:type="dxa" w:w="288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推奨 Pantone（Coated）</w:t>
            </w:r>
          </w:p>
        </w:tc>
        <w:tc>
          <w:tcPr>
            <w:tcW w:type="dxa" w:w="18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代替</w:t>
            </w:r>
          </w:p>
        </w:tc>
        <w:tc>
          <w:tcPr>
            <w:tcW w:type="dxa" w:w="228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用途</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 Red</w:t>
            </w:r>
          </w:p>
        </w:tc>
        <w:tc>
          <w:tcPr>
            <w:tcW w:type="dxa" w:w="28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Pantone 485 C</w:t>
            </w:r>
          </w:p>
        </w:tc>
        <w:tc>
          <w:tcPr>
            <w:tcW w:type="dxa" w:w="1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Pantone 186 C</w:t>
            </w:r>
          </w:p>
        </w:tc>
        <w:tc>
          <w:tcPr>
            <w:tcW w:type="dxa" w:w="22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ブランド赤の特色再現</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 Black</w:t>
            </w:r>
          </w:p>
        </w:tc>
        <w:tc>
          <w:tcPr>
            <w:tcW w:type="dxa" w:w="28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Pantone Black 6 C</w:t>
            </w:r>
          </w:p>
        </w:tc>
        <w:tc>
          <w:tcPr>
            <w:tcW w:type="dxa" w:w="18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Process Black</w:t>
            </w:r>
          </w:p>
        </w:tc>
        <w:tc>
          <w:tcPr>
            <w:tcW w:type="dxa" w:w="22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墨の特色再現</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Paper</w:t>
            </w:r>
          </w:p>
        </w:tc>
        <w:tc>
          <w:tcPr>
            <w:tcW w:type="dxa" w:w="28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Pantone Warm Gray 1 C</w:t>
            </w:r>
          </w:p>
        </w:tc>
        <w:tc>
          <w:tcPr>
            <w:tcW w:type="dxa" w:w="1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w:t>
            </w:r>
          </w:p>
        </w:tc>
        <w:tc>
          <w:tcPr>
            <w:tcW w:type="dxa" w:w="22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地色の参考</w:t>
            </w:r>
          </w:p>
        </w:tc>
      </w:tr>
    </w:tbl>
    <w:p>
      <w:pPr>
        <w:spacing w:after="120" w:before="0" w:line="312" w:lineRule="auto"/>
        <w:jc w:val="both"/>
      </w:pPr>
      <w:r>
        <w:rPr>
          <w:rFonts w:ascii="Helvetica Neue" w:eastAsia="Yu Gothic" w:hAnsi="Helvetica Neue"/>
          <w:b/>
          <w:bCs/>
          <w:i w:val="false"/>
          <w:iCs w:val="false"/>
          <w:caps w:val="false"/>
          <w:color w:val="D91E18"/>
          <w:sz w:val="20"/>
          <w:szCs w:val="20"/>
        </w:rPr>
        <w:t xml:space="preserve">注意: </w:t>
      </w:r>
      <w:r>
        <w:rPr>
          <w:rFonts w:ascii="Helvetica Neue" w:eastAsia="Yu Gothic" w:hAnsi="Helvetica Neue"/>
          <w:b w:val="false"/>
          <w:bCs w:val="false"/>
          <w:i w:val="false"/>
          <w:iCs w:val="false"/>
          <w:caps w:val="false"/>
          <w:color w:val="111111"/>
          <w:sz w:val="20"/>
          <w:szCs w:val="20"/>
        </w:rPr>
        <w:t xml:space="preserve">Pantone値はあくまで推奨基準である。媒体・用紙により見え方が変わるため、量産前の色校正を必須とする。</w:t>
      </w:r>
    </w:p>
    <w:p>
      <w:pPr>
        <w:keepNext/>
        <w:spacing w:after="0" w:before="360"/>
      </w:pPr>
      <w:r>
        <w:rPr>
          <w:rFonts w:ascii="Helvetica Neue" w:eastAsia="Yu Gothic" w:hAnsi="Helvetica Neue"/>
          <w:b/>
          <w:bCs/>
          <w:i w:val="false"/>
          <w:iCs w:val="false"/>
          <w:caps w:val="false"/>
          <w:color w:val="D91E18"/>
          <w:spacing w:val="40"/>
          <w:sz w:val="22"/>
          <w:szCs w:val="22"/>
        </w:rPr>
        <w:t xml:space="preserve">20</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Typography</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タイポグラフィ規定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文字組みはPHOSARAの静寂を支える要となる。情報の階層を明確にし、余白を十分に取り、可読性を最優先する。装飾的な書体・過度な装飾は禁止する。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タイポグラフィの基本原則</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1つの制作物で使用する書体ファミリーは原則2系統（和文1・欧文1）までとする。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ウェイトはRegularとMedium／Boldを基本とし、極端な細字・極太の多用は避ける。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行間は本文で文字サイズの1.6〜1.8倍を基準とし、詰め込まない。</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見出しと本文のジャンプ率（サイズ差）を明確にし、階層を一目で示す。</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和欧混植時は、和文に対し欧文をやや小さめに調整し、ベースラインを揃える。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階層とサイズの目安（印刷・A4基準）</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2000"/>
        <w:gridCol w:w="2200"/>
        <w:gridCol w:w="2860"/>
      </w:tblGrid>
      <w:tr>
        <w:trPr>
          <w:tblHeader/>
        </w:trPr>
        <w:tc>
          <w:tcPr>
            <w:tcW w:type="dxa" w:w="23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階層</w:t>
            </w:r>
          </w:p>
        </w:tc>
        <w:tc>
          <w:tcPr>
            <w:tcW w:type="dxa" w:w="2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サイズ目安</w:t>
            </w:r>
          </w:p>
        </w:tc>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ウェイト</w:t>
            </w:r>
          </w:p>
        </w:tc>
        <w:tc>
          <w:tcPr>
            <w:tcW w:type="dxa" w:w="28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用途</w:t>
            </w:r>
          </w:p>
        </w:tc>
      </w:tr>
      <w:tr>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大見出し（H1）</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24–32pt</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Bold</w:t>
            </w:r>
          </w:p>
        </w:tc>
        <w:tc>
          <w:tcPr>
            <w:tcW w:type="dxa" w:w="28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章・表紙タイトル</w:t>
            </w:r>
          </w:p>
        </w:tc>
      </w:tr>
      <w:tr>
        <w:tc>
          <w:tcPr>
            <w:tcW w:type="dxa" w:w="23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中見出し（H2）</w:t>
            </w:r>
          </w:p>
        </w:tc>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16–20pt</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Medium/Bold</w:t>
            </w:r>
          </w:p>
        </w:tc>
        <w:tc>
          <w:tcPr>
            <w:tcW w:type="dxa" w:w="28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節タイトル</w:t>
            </w:r>
          </w:p>
        </w:tc>
      </w:tr>
      <w:tr>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小見出し（H3）</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12–14pt</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Medium</w:t>
            </w:r>
          </w:p>
        </w:tc>
        <w:tc>
          <w:tcPr>
            <w:tcW w:type="dxa" w:w="28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段落の見出し</w:t>
            </w:r>
          </w:p>
        </w:tc>
      </w:tr>
      <w:tr>
        <w:tc>
          <w:tcPr>
            <w:tcW w:type="dxa" w:w="23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本文</w:t>
            </w:r>
          </w:p>
        </w:tc>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9–10.5pt</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Regular</w:t>
            </w:r>
          </w:p>
        </w:tc>
        <w:tc>
          <w:tcPr>
            <w:tcW w:type="dxa" w:w="28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標準テキスト</w:t>
            </w:r>
          </w:p>
        </w:tc>
      </w:tr>
      <w:tr>
        <w:tc>
          <w:tcPr>
            <w:tcW w:type="dxa" w:w="23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キャプション・注記</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7.5–8.5pt</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Regular</w:t>
            </w:r>
          </w:p>
        </w:tc>
        <w:tc>
          <w:tcPr>
            <w:tcW w:type="dxa" w:w="28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補助情報</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21</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Japanese Typeface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和文フォント規定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和文は游書体を基本とする。清潔で現代的な游ゴシックを主とし、象徴的なコピーや明朝の品位が必要な場面で游明朝を用いる。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000"/>
        <w:gridCol w:w="2100"/>
        <w:gridCol w:w="2060"/>
      </w:tblGrid>
      <w:tr>
        <w:trPr>
          <w:tblHeader/>
        </w:trPr>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用途</w:t>
            </w:r>
          </w:p>
        </w:tc>
        <w:tc>
          <w:tcPr>
            <w:tcW w:type="dxa" w:w="3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指定書体</w:t>
            </w:r>
          </w:p>
        </w:tc>
        <w:tc>
          <w:tcPr>
            <w:tcW w:type="dxa" w:w="21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ウェイト</w:t>
            </w:r>
          </w:p>
        </w:tc>
        <w:tc>
          <w:tcPr>
            <w:tcW w:type="dxa" w:w="20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代替（環境依存時）</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和文 見出し</w:t>
            </w:r>
          </w:p>
        </w:tc>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游ゴシック体（Yu Gothic）</w:t>
            </w:r>
          </w:p>
        </w:tc>
        <w:tc>
          <w:tcPr>
            <w:tcW w:type="dxa" w:w="21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Medium / Bold</w:t>
            </w:r>
          </w:p>
        </w:tc>
        <w:tc>
          <w:tcPr>
            <w:tcW w:type="dxa" w:w="20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Noto Sans JP / ヒラギノ角ゴ</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和文 本文</w:t>
            </w:r>
          </w:p>
        </w:tc>
        <w:tc>
          <w:tcPr>
            <w:tcW w:type="dxa" w:w="3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游ゴシック体（Yu Gothic）</w:t>
            </w:r>
          </w:p>
        </w:tc>
        <w:tc>
          <w:tcPr>
            <w:tcW w:type="dxa" w:w="21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Regular</w:t>
            </w:r>
          </w:p>
        </w:tc>
        <w:tc>
          <w:tcPr>
            <w:tcW w:type="dxa" w:w="20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Noto Sans JP / メイリオ</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象徴的コピー・宣言</w:t>
            </w:r>
          </w:p>
        </w:tc>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游明朝体（Yu Mincho）</w:t>
            </w:r>
          </w:p>
        </w:tc>
        <w:tc>
          <w:tcPr>
            <w:tcW w:type="dxa" w:w="21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Regular / Demibold</w:t>
            </w:r>
          </w:p>
        </w:tc>
        <w:tc>
          <w:tcPr>
            <w:tcW w:type="dxa" w:w="20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Noto Serif JP / ヒラギノ明朝</w:t>
            </w:r>
          </w:p>
        </w:tc>
      </w:tr>
    </w:tbl>
    <w:p>
      <w:pPr>
        <w:spacing w:after="120" w:before="0" w:line="312" w:lineRule="auto"/>
        <w:jc w:val="both"/>
      </w:pPr>
      <w:r>
        <w:rPr>
          <w:rFonts w:ascii="Helvetica Neue" w:eastAsia="Yu Gothic" w:hAnsi="Helvetica Neue"/>
          <w:b/>
          <w:bCs/>
          <w:i w:val="false"/>
          <w:iCs w:val="false"/>
          <w:caps w:val="false"/>
          <w:color w:val="111111"/>
          <w:sz w:val="19"/>
          <w:szCs w:val="19"/>
        </w:rPr>
        <w:t xml:space="preserve">システム／開発環境のフォールバック: </w:t>
      </w:r>
      <w:r>
        <w:rPr>
          <w:rFonts w:ascii="Helvetica Neue" w:eastAsia="Yu Gothic" w:hAnsi="Helvetica Neue"/>
          <w:b w:val="false"/>
          <w:bCs w:val="false"/>
          <w:i w:val="false"/>
          <w:iCs w:val="false"/>
          <w:caps w:val="false"/>
          <w:color w:val="111111"/>
          <w:sz w:val="19"/>
          <w:szCs w:val="19"/>
        </w:rPr>
        <w:t xml:space="preserve">Noto Sans JP を標準フォールバックとする。Webでは可変フォントの読み込み失敗時に sans-serif へ段階的に縮退させる。</w:t>
      </w:r>
    </w:p>
    <w:p>
      <w:pPr>
        <w:keepNext/>
        <w:spacing w:after="0" w:before="360"/>
      </w:pPr>
      <w:r>
        <w:rPr>
          <w:rFonts w:ascii="Helvetica Neue" w:eastAsia="Yu Gothic" w:hAnsi="Helvetica Neue"/>
          <w:b/>
          <w:bCs/>
          <w:i w:val="false"/>
          <w:iCs w:val="false"/>
          <w:caps w:val="false"/>
          <w:color w:val="D91E18"/>
          <w:spacing w:val="40"/>
          <w:sz w:val="22"/>
          <w:szCs w:val="22"/>
        </w:rPr>
        <w:t xml:space="preserve">22</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Latin Typeface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欧文フォント規定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欧文（ロゴタイプ・英語コピー・数値）は、ニュートラルで端正なグロテスク系サンセリフを基本とする。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000"/>
        <w:gridCol w:w="2100"/>
        <w:gridCol w:w="2060"/>
      </w:tblGrid>
      <w:tr>
        <w:trPr>
          <w:tblHeader/>
        </w:trPr>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用途</w:t>
            </w:r>
          </w:p>
        </w:tc>
        <w:tc>
          <w:tcPr>
            <w:tcW w:type="dxa" w:w="3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推奨書体</w:t>
            </w:r>
          </w:p>
        </w:tc>
        <w:tc>
          <w:tcPr>
            <w:tcW w:type="dxa" w:w="21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代替</w:t>
            </w:r>
          </w:p>
        </w:tc>
        <w:tc>
          <w:tcPr>
            <w:tcW w:type="dxa" w:w="20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備考</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欧文 ロゴ／見出し</w:t>
            </w:r>
          </w:p>
        </w:tc>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Neue Haas Grotesk Display</w:t>
            </w:r>
          </w:p>
        </w:tc>
        <w:tc>
          <w:tcPr>
            <w:tcW w:type="dxa" w:w="21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Helvetica Neue / Arial</w:t>
            </w:r>
          </w:p>
        </w:tc>
        <w:tc>
          <w:tcPr>
            <w:tcW w:type="dxa" w:w="20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字間をやや広げて使用</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欧文 本文</w:t>
            </w:r>
          </w:p>
        </w:tc>
        <w:tc>
          <w:tcPr>
            <w:tcW w:type="dxa" w:w="3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Neue Haas Grotesk Text</w:t>
            </w:r>
          </w:p>
        </w:tc>
        <w:tc>
          <w:tcPr>
            <w:tcW w:type="dxa" w:w="21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Helvetica Neue / Arial</w:t>
            </w:r>
          </w:p>
        </w:tc>
        <w:tc>
          <w:tcPr>
            <w:tcW w:type="dxa" w:w="20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標準字間</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数値・データ</w:t>
            </w:r>
          </w:p>
        </w:tc>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等幅数字（Tabular figures）</w:t>
            </w:r>
          </w:p>
        </w:tc>
        <w:tc>
          <w:tcPr>
            <w:tcW w:type="dxa" w:w="21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w:t>
            </w:r>
          </w:p>
        </w:tc>
        <w:tc>
          <w:tcPr>
            <w:tcW w:type="dxa" w:w="20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表組みは等幅数字を使用</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エディトリアル・象徴</w:t>
            </w:r>
          </w:p>
        </w:tc>
        <w:tc>
          <w:tcPr>
            <w:tcW w:type="dxa" w:w="3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高コントラスト・セリフ（任意）</w:t>
            </w:r>
          </w:p>
        </w:tc>
        <w:tc>
          <w:tcPr>
            <w:tcW w:type="dxa" w:w="21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Noto Serif</w:t>
            </w:r>
          </w:p>
        </w:tc>
        <w:tc>
          <w:tcPr>
            <w:tcW w:type="dxa" w:w="20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限定的に使用</w:t>
            </w:r>
          </w:p>
        </w:tc>
      </w:tr>
    </w:tbl>
    <w:p>
      <w:pPr>
        <w:spacing w:after="120" w:before="0" w:line="312" w:lineRule="auto"/>
        <w:jc w:val="both"/>
      </w:pPr>
      <w:r>
        <w:rPr>
          <w:rFonts w:ascii="Helvetica Neue" w:eastAsia="Yu Gothic" w:hAnsi="Helvetica Neue"/>
          <w:b/>
          <w:bCs/>
          <w:i w:val="false"/>
          <w:iCs w:val="false"/>
          <w:caps w:val="false"/>
          <w:color w:val="111111"/>
          <w:sz w:val="19"/>
          <w:szCs w:val="19"/>
        </w:rPr>
        <w:t xml:space="preserve">Web標準フォールバック: </w:t>
      </w:r>
      <w:r>
        <w:rPr>
          <w:rFonts w:ascii="Helvetica Neue" w:eastAsia="Yu Gothic" w:hAnsi="Helvetica Neue"/>
          <w:b w:val="false"/>
          <w:bCs w:val="false"/>
          <w:i w:val="false"/>
          <w:iCs w:val="false"/>
          <w:caps w:val="false"/>
          <w:color w:val="111111"/>
          <w:sz w:val="19"/>
          <w:szCs w:val="19"/>
        </w:rPr>
        <w:t xml:space="preserve">Inter（オープンソース）を欧文Webフォールバックとして許容する。</w:t>
      </w:r>
    </w:p>
    <w:p>
      <w:pPr>
        <w:keepNext/>
        <w:spacing w:after="0" w:before="360"/>
      </w:pPr>
      <w:r>
        <w:rPr>
          <w:rFonts w:ascii="Helvetica Neue" w:eastAsia="Yu Gothic" w:hAnsi="Helvetica Neue"/>
          <w:b/>
          <w:bCs/>
          <w:i w:val="false"/>
          <w:iCs w:val="false"/>
          <w:caps w:val="false"/>
          <w:color w:val="D91E18"/>
          <w:spacing w:val="40"/>
          <w:sz w:val="22"/>
          <w:szCs w:val="22"/>
        </w:rPr>
        <w:t xml:space="preserve">23</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Grid System</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グリッドシステム</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レイアウトは8ptベースライングリッドと、媒体に応じたカラムグリッドで構築する。余白（マージン）はケチらない——余白こそがPHOSARAの静寂を生む。</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2000"/>
        <w:gridCol w:w="2400"/>
        <w:gridCol w:w="2760"/>
      </w:tblGrid>
      <w:tr>
        <w:trPr>
          <w:tblHeader/>
        </w:trPr>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媒体</w:t>
            </w:r>
          </w:p>
        </w:tc>
        <w:tc>
          <w:tcPr>
            <w:tcW w:type="dxa" w:w="2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カラム</w:t>
            </w:r>
          </w:p>
        </w:tc>
        <w:tc>
          <w:tcPr>
            <w:tcW w:type="dxa" w:w="2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ガター（間隔）</w:t>
            </w:r>
          </w:p>
        </w:tc>
        <w:tc>
          <w:tcPr>
            <w:tcW w:type="dxa" w:w="27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基準余白</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Web（PC）</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12カラム</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24px</w:t>
            </w:r>
          </w:p>
        </w:tc>
        <w:tc>
          <w:tcPr>
            <w:tcW w:type="dxa" w:w="2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外周マージン 80px以上</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Web（モバイル）</w:t>
            </w:r>
          </w:p>
        </w:tc>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4カラム</w:t>
            </w:r>
          </w:p>
        </w:tc>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16px</w:t>
            </w:r>
          </w:p>
        </w:tc>
        <w:tc>
          <w:tcPr>
            <w:tcW w:type="dxa" w:w="2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左右マージン 20px以上</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A4 印刷</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12カラム</w:t>
            </w:r>
          </w:p>
        </w:tc>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5mm</w:t>
            </w:r>
          </w:p>
        </w:tc>
        <w:tc>
          <w:tcPr>
            <w:tcW w:type="dxa" w:w="2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上下左右 20mm以上</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スライド（16:9）</w:t>
            </w:r>
          </w:p>
        </w:tc>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12カラム</w:t>
            </w:r>
          </w:p>
        </w:tc>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圧縮しない</w:t>
            </w:r>
          </w:p>
        </w:tc>
        <w:tc>
          <w:tcPr>
            <w:tcW w:type="dxa" w:w="2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セーフマージン 5%以上</w:t>
            </w:r>
          </w:p>
        </w:tc>
      </w:tr>
    </w:tbl>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全要素は8ptの倍数で配置・サイズ設定する（4ptは微調整のみ許容）。</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余白は装飾ではなく構造である。要素を詰めて余白を削ることを禁止する。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視線の起点（多くは左上、または赤い核）を1つに定め、視線誘導を設計する。</w:t>
      </w:r>
    </w:p>
    <w:p>
      <w:pPr>
        <w:keepNext/>
        <w:spacing w:after="0" w:before="360"/>
      </w:pPr>
      <w:r>
        <w:rPr>
          <w:rFonts w:ascii="Helvetica Neue" w:eastAsia="Yu Gothic" w:hAnsi="Helvetica Neue"/>
          <w:b/>
          <w:bCs/>
          <w:i w:val="false"/>
          <w:iCs w:val="false"/>
          <w:caps w:val="false"/>
          <w:color w:val="D91E18"/>
          <w:spacing w:val="40"/>
          <w:sz w:val="22"/>
          <w:szCs w:val="22"/>
        </w:rPr>
        <w:t xml:space="preserve">24</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Photography Tone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写真トーン規定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写真はPHOSARAの世界観——光・境界・静寂・本質——を補強するものに限る。賑やかで装飾的なストック写真は使用しない。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830"/>
        <w:gridCol w:w="3830"/>
      </w:tblGrid>
      <w:tr>
        <w:trPr>
          <w:tblHeader/>
        </w:trPr>
        <w:tc>
          <w:tcPr>
            <w:tcW w:type="dxa" w:w="17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観点</w:t>
            </w:r>
          </w:p>
        </w:tc>
        <w:tc>
          <w:tcPr>
            <w:tcW w:type="dxa" w:w="383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推奨（DO）</w:t>
            </w:r>
          </w:p>
        </w:tc>
        <w:tc>
          <w:tcPr>
            <w:tcW w:type="dxa" w:w="383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禁止（DON'T）</w:t>
            </w:r>
          </w:p>
        </w:tc>
      </w:tr>
      <w:tr>
        <w:tc>
          <w:tcPr>
            <w:tcW w:type="dxa" w:w="17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光</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自然光・一方向の光・陰影のある光</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均一でフラットな照明・過度なフラッシュ</w:t>
            </w:r>
          </w:p>
        </w:tc>
      </w:tr>
      <w:tr>
        <w:tc>
          <w:tcPr>
            <w:tcW w:type="dxa" w:w="17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色調</w:t>
            </w:r>
          </w:p>
        </w:tc>
        <w:tc>
          <w:tcPr>
            <w:tcW w:type="dxa" w:w="38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低彩度・抑えたトーン・微かな暖色</w:t>
            </w:r>
          </w:p>
        </w:tc>
        <w:tc>
          <w:tcPr>
            <w:tcW w:type="dxa" w:w="38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高彩度・過剰な色被り・HDR的誇張</w:t>
            </w:r>
          </w:p>
        </w:tc>
      </w:tr>
      <w:tr>
        <w:tc>
          <w:tcPr>
            <w:tcW w:type="dxa" w:w="17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構図</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余白を活かす・被写体を絞る</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情報過多・要素の詰め込み</w:t>
            </w:r>
          </w:p>
        </w:tc>
      </w:tr>
      <w:tr>
        <w:tc>
          <w:tcPr>
            <w:tcW w:type="dxa" w:w="17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被写体</w:t>
            </w:r>
          </w:p>
        </w:tc>
        <w:tc>
          <w:tcPr>
            <w:tcW w:type="dxa" w:w="38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本質・素材・手・質感・空間</w:t>
            </w:r>
          </w:p>
        </w:tc>
        <w:tc>
          <w:tcPr>
            <w:tcW w:type="dxa" w:w="38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演出過剰なポーズ・クリシェな笑顔</w:t>
            </w:r>
          </w:p>
        </w:tc>
      </w:tr>
      <w:tr>
        <w:tc>
          <w:tcPr>
            <w:tcW w:type="dxa" w:w="17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後処理</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自然な階調・微コントラスト</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強いフィルター・不自然な合成</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25</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Art Direction</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アートディレクション原則</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PHOSARAのアートディレクションは「引き算」を基本動詞とする。足すことより、削ることに労力を割く。</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余白を主役にする —— 要素は最小限に絞り、空間で語らせる。</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光を一点に集める —— 強調（赤・コントラスト）は画面に一つだけ。複数の主張を同時に置かない。</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静寂を保つ —— 動き・装飾・効果は理由のあるものだけを残す。</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本質を露わにする —— 被写体・メッセージの核を、遮るものなく見せる。</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一貫を徹底する —— 余白・色・文字の規律を、すべての制作物で守り抜く。</w:t>
      </w:r>
    </w:p>
    <w:p>
      <w:pPr>
        <w:spacing w:after="120" w:before="0" w:line="312" w:lineRule="auto"/>
        <w:jc w:val="both"/>
      </w:pPr>
      <w:r>
        <w:rPr>
          <w:rFonts w:ascii="Helvetica Neue" w:eastAsia="Yu Gothic" w:hAnsi="Helvetica Neue"/>
          <w:b/>
          <w:bCs/>
          <w:i w:val="false"/>
          <w:iCs w:val="false"/>
          <w:caps w:val="false"/>
          <w:color w:val="D91E18"/>
          <w:sz w:val="20"/>
          <w:szCs w:val="20"/>
        </w:rPr>
        <w:t xml:space="preserve">最終チェックの問い: </w:t>
      </w:r>
      <w:r>
        <w:rPr>
          <w:rFonts w:ascii="Helvetica Neue" w:eastAsia="Yu Gothic" w:hAnsi="Helvetica Neue"/>
          <w:b w:val="false"/>
          <w:bCs w:val="false"/>
          <w:i w:val="false"/>
          <w:iCs w:val="false"/>
          <w:caps w:val="false"/>
          <w:color w:val="111111"/>
          <w:sz w:val="20"/>
          <w:szCs w:val="20"/>
        </w:rPr>
        <w:t xml:space="preserve">「これ以上削れる要素はないか？」——この問いに「ない」と答えられて初めて、制作は完成に近づく。</w:t>
      </w:r>
    </w:p>
    <w:p>
      <w:pPr>
        <w:pageBreakBefore/>
        <w:spacing w:after="0" w:before="2400"/>
      </w:pPr>
      <w:r>
        <w:rPr>
          <w:rFonts w:ascii="Helvetica Neue" w:eastAsia="Yu Gothic" w:hAnsi="Helvetica Neue"/>
          <w:b/>
          <w:bCs/>
          <w:i w:val="false"/>
          <w:iCs w:val="false"/>
          <w:caps/>
          <w:color w:val="D91E18"/>
          <w:spacing w:val="80"/>
          <w:sz w:val="28"/>
          <w:szCs w:val="28"/>
        </w:rPr>
        <w:t xml:space="preserve">PART IV</w:t>
      </w:r>
    </w:p>
    <w:p>
      <w:pPr>
        <w:pBdr>
          <w:bottom w:val="single" w:color="111111" w:sz="14" w:space="12"/>
        </w:pBdr>
        <w:spacing w:after="0" w:before="60"/>
      </w:pPr>
      <w:r>
        <w:rPr>
          <w:rFonts w:ascii="Helvetica Neue" w:eastAsia="Yu Gothic" w:hAnsi="Helvetica Neue"/>
          <w:b w:val="false"/>
          <w:bCs w:val="false"/>
          <w:i w:val="false"/>
          <w:iCs w:val="false"/>
          <w:caps w:val="false"/>
          <w:color w:val="5E5E5E"/>
          <w:spacing w:val="40"/>
          <w:sz w:val="26"/>
          <w:szCs w:val="26"/>
        </w:rPr>
        <w:t xml:space="preserve">Channels &amp; Applications</w:t>
      </w:r>
    </w:p>
    <w:p>
      <w:pPr>
        <w:pStyle w:val="Heading1"/>
        <w:spacing w:after="120" w:before="220"/>
      </w:pPr>
      <w:r>
        <w:rPr>
          <w:rFonts w:ascii="Helvetica Neue" w:eastAsia="Yu Gothic" w:hAnsi="Helvetica Neue"/>
          <w:b/>
          <w:bCs/>
          <w:i w:val="false"/>
          <w:iCs w:val="false"/>
          <w:caps w:val="false"/>
          <w:color w:val="111111"/>
          <w:sz w:val="48"/>
          <w:szCs w:val="48"/>
        </w:rPr>
        <w:t xml:space="preserve">チャネル・運用ガイド</w:t>
      </w:r>
    </w:p>
    <w:p>
      <w:pPr>
        <w:spacing w:after="200" w:before="60"/>
      </w:pPr>
      <w:r>
        <w:rPr>
          <w:rFonts w:ascii="Helvetica Neue" w:eastAsia="Yu Gothic" w:hAnsi="Helvetica Neue"/>
          <w:b w:val="false"/>
          <w:bCs w:val="false"/>
          <w:i w:val="false"/>
          <w:iCs w:val="false"/>
          <w:caps w:val="false"/>
          <w:color w:val="5E5E5E"/>
          <w:sz w:val="21"/>
          <w:szCs w:val="21"/>
        </w:rPr>
        <w:t xml:space="preserve">媒体ごとの具体寸法と運用ルール。どの接点でもPHOSARAの静寂と一貫性を再現する。</w:t>
      </w:r>
    </w:p>
    <w:p>
      <w:pPr>
        <w:keepNext/>
        <w:spacing w:after="0" w:before="360"/>
      </w:pPr>
      <w:r>
        <w:rPr>
          <w:rFonts w:ascii="Helvetica Neue" w:eastAsia="Yu Gothic" w:hAnsi="Helvetica Neue"/>
          <w:b/>
          <w:bCs/>
          <w:i w:val="false"/>
          <w:iCs w:val="false"/>
          <w:caps w:val="false"/>
          <w:color w:val="D91E18"/>
          <w:spacing w:val="40"/>
          <w:sz w:val="22"/>
          <w:szCs w:val="22"/>
        </w:rPr>
        <w:t xml:space="preserve">26</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Social Media Guide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SNSデザインガイド</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SNSは最も露出量が多く、最もブランドが崩れやすい接点である。共通原則を定め、各プラットフォームの規定（次節以降）に従う。</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SNS共通原則</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1投稿＝1メッセージ。複数の主張を1枚に詰め込まない。</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余白を確保し、文字は読める最小限に絞る。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赤は1点のみ。サムネ・カバーで赤を多用しない。</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ロゴ／ブランド要素の位置を固定し、回ごとに動かさない。</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テンプレートから外れた単発デザインを禁止する（一貫性が崩れる）。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主要フォーマット寸法</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2200"/>
        <w:gridCol w:w="1400"/>
        <w:gridCol w:w="2760"/>
      </w:tblGrid>
      <w:tr>
        <w:trPr>
          <w:tblHeader/>
        </w:trPr>
        <w:tc>
          <w:tcPr>
            <w:tcW w:type="dxa" w:w="3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媒体・用途</w:t>
            </w:r>
          </w:p>
        </w:tc>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推奨サイズ(px)</w:t>
            </w:r>
          </w:p>
        </w:tc>
        <w:tc>
          <w:tcPr>
            <w:tcW w:type="dxa" w:w="1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比率</w:t>
            </w:r>
          </w:p>
        </w:tc>
        <w:tc>
          <w:tcPr>
            <w:tcW w:type="dxa" w:w="27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セーフ領域</w:t>
            </w:r>
          </w:p>
        </w:tc>
      </w:tr>
      <w:tr>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Instagram フィード（正方）</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1080×1080</w:t>
            </w:r>
          </w:p>
        </w:tc>
        <w:tc>
          <w:tcPr>
            <w:tcW w:type="dxa" w:w="1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1:1</w:t>
            </w:r>
          </w:p>
        </w:tc>
        <w:tc>
          <w:tcPr>
            <w:tcW w:type="dxa" w:w="2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四辺80px</w:t>
            </w:r>
          </w:p>
        </w:tc>
      </w:tr>
      <w:tr>
        <w:tc>
          <w:tcPr>
            <w:tcW w:type="dxa" w:w="3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Instagram フィード（縦）</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1080×1350</w:t>
            </w:r>
          </w:p>
        </w:tc>
        <w:tc>
          <w:tcPr>
            <w:tcW w:type="dxa" w:w="1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4:5</w:t>
            </w:r>
          </w:p>
        </w:tc>
        <w:tc>
          <w:tcPr>
            <w:tcW w:type="dxa" w:w="2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四辺80px</w:t>
            </w:r>
          </w:p>
        </w:tc>
      </w:tr>
      <w:tr>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Instagram ストーリー／リール</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1080×1920</w:t>
            </w:r>
          </w:p>
        </w:tc>
        <w:tc>
          <w:tcPr>
            <w:tcW w:type="dxa" w:w="1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9:16</w:t>
            </w:r>
          </w:p>
        </w:tc>
        <w:tc>
          <w:tcPr>
            <w:tcW w:type="dxa" w:w="2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上下250px</w:t>
            </w:r>
          </w:p>
        </w:tc>
      </w:tr>
      <w:tr>
        <w:tc>
          <w:tcPr>
            <w:tcW w:type="dxa" w:w="3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X 投稿画像</w:t>
            </w:r>
          </w:p>
        </w:tc>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1600×900</w:t>
            </w:r>
          </w:p>
        </w:tc>
        <w:tc>
          <w:tcPr>
            <w:tcW w:type="dxa" w:w="1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16:9</w:t>
            </w:r>
          </w:p>
        </w:tc>
        <w:tc>
          <w:tcPr>
            <w:tcW w:type="dxa" w:w="2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四辺60px</w:t>
            </w:r>
          </w:p>
        </w:tc>
      </w:tr>
      <w:tr>
        <w:tc>
          <w:tcPr>
            <w:tcW w:type="dxa" w:w="3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YouTube サムネイル</w:t>
            </w:r>
          </w:p>
        </w:tc>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1280×720</w:t>
            </w:r>
          </w:p>
        </w:tc>
        <w:tc>
          <w:tcPr>
            <w:tcW w:type="dxa" w:w="1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16:9</w:t>
            </w:r>
          </w:p>
        </w:tc>
        <w:tc>
          <w:tcPr>
            <w:tcW w:type="dxa" w:w="2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四辺60px</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27</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Instagram</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Instagram運用規定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Instagramはグリッド（プロフィール上の並び）全体で世界観を表現する媒体である。1投稿単位ではなく、9枚単位のリズムで設計する。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項目</w:t>
            </w:r>
          </w:p>
        </w:tc>
        <w:tc>
          <w:tcPr>
            <w:tcW w:type="dxa" w:w="71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規定</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グリッド設計</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9枚（3×3）単位で、墨・余白・灯のリズムを設計。同色の連続を避ける</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基本トーン</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余白多め・低彩度。赤は各投稿で最大1点</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文字量</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1枚あたり主見出し15文字以内を目安。長文はキャプションへ</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フォント</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游ゴシック（和文）／Neue Haas系（欧文）</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ロゴ位置</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使用する場合は右下または左上に固定</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ハッシュタグ</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ブランドタグ #PHOSARA を必ず含め、無関係な大量タグを禁止</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投稿頻度</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質を優先。崩れた投稿を頻度のために出さない</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28</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X (Twitter)</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X運用規定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Xは速度と言葉の媒体である。画像はシンプルに、テキストはブランドボイス（第34節）に従う。</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画像は16:9（1600×900）を基本とし、文字は最小限に絞る。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1ツイート1論点。スレッドで分割し、詰め込まない。</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煽り・誇張・流行便乗の軽い語調を避ける。静かで断定的なトーンを保つ。</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赤や強調は1要素のみ。連投で世界観を崩さない。</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リプライ・引用でも敬意ある言葉遣いを徹底する。</w:t>
      </w:r>
    </w:p>
    <w:p>
      <w:pPr>
        <w:keepNext/>
        <w:spacing w:after="0" w:before="360"/>
      </w:pPr>
      <w:r>
        <w:rPr>
          <w:rFonts w:ascii="Helvetica Neue" w:eastAsia="Yu Gothic" w:hAnsi="Helvetica Neue"/>
          <w:b/>
          <w:bCs/>
          <w:i w:val="false"/>
          <w:iCs w:val="false"/>
          <w:caps w:val="false"/>
          <w:color w:val="D91E18"/>
          <w:spacing w:val="40"/>
          <w:sz w:val="22"/>
          <w:szCs w:val="22"/>
        </w:rPr>
        <w:t xml:space="preserve">29</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YouTube Thumbnail</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YouTubeサムネイル規定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YouTubeサムネは小サイズ・低コントラスト環境で競合と並ぶ。視認性を確保しつつ、PHOSARAの静寂を保つ——派手さで勝とうとしない。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項目</w:t>
            </w:r>
          </w:p>
        </w:tc>
        <w:tc>
          <w:tcPr>
            <w:tcW w:type="dxa" w:w="71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規定</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サイズ</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1280×720px（16:9）</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セーフ領域</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四辺60px・右下はタイムスタンプを避ける</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文字数</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メイン文言は日本語9文字以内を強く推奨</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文字サイズ</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画面高の約12%以上（スマホ視認性確保）</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コントラスト</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背景と文字のコントラスト比4.5:1以上</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配色</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墨・余白基調＋赤1点。多色・蛍光色を禁止</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ロゴ</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左上または右下に小さく固定（任意）</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30</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Web Design</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Webデザイン規定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Webは余白・タイポグラフィ・微細なモーションでPHOSARAを体現する。アクセシビリティを品質要件として扱う。</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レイアウト・余白</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12カラム／24pxガター。外周マージンはPCで80px以上を確保する。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ファーストビューは要素を絞り、余白で「静けさ」を提示する。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セクション間に十分な余白（最低64px）を取り、密集させない。</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モーション</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アニメーションは控えめ・低速（200–400ms）・イージングは緩やかに。</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光が差すような微細なフェード・スライドのみ許容。派手な動きを禁止。</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prefers-reduced-motion に対応し、動きを抑制できるようにする。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アクセシビリティ（必須要件）</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本文テキストのコントラスト比4.5:1以上、大見出し3:1以上を満たす。</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すべての画像に代替テキスト（alt）を付与している。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キーボード操作・フォーカス可視化に対応している。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フォント最小サイズは本文14px以上を確保している。</w:t>
      </w:r>
    </w:p>
    <w:p>
      <w:pPr>
        <w:keepNext/>
        <w:spacing w:after="0" w:before="360"/>
      </w:pPr>
      <w:r>
        <w:rPr>
          <w:rFonts w:ascii="Helvetica Neue" w:eastAsia="Yu Gothic" w:hAnsi="Helvetica Neue"/>
          <w:b/>
          <w:bCs/>
          <w:i w:val="false"/>
          <w:iCs w:val="false"/>
          <w:caps w:val="false"/>
          <w:color w:val="D91E18"/>
          <w:spacing w:val="40"/>
          <w:sz w:val="22"/>
          <w:szCs w:val="22"/>
        </w:rPr>
        <w:t xml:space="preserve">31</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Proposal Documents</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提案資料デザイン規定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提案資料は、PHOSARAの「思考の質」を可視化する場である。情報を整理し、余白を保ち、結論を先に示す。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構成要素</w:t>
            </w:r>
          </w:p>
        </w:tc>
        <w:tc>
          <w:tcPr>
            <w:tcW w:type="dxa" w:w="69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規定</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表紙</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墨地または余白地＋ロゴ＋案件名。情報は最小限</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中扉</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章番号＋章題のみ。余白を大きく取る</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本文グリッド</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12カラム。図版と文章の領域を明確に分離</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1ページ1論点</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結論を上部に置き、根拠を下に展開する</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配色</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墨・余白基調。強調は赤1点のみ</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数値・表</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等幅数字を使用し、罫線は最小限（Mist色）</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32</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Business Card</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名刺規定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名刺はPHOSARAに触れる最初の物理接点である。手触り・余白・印刷品質に妥協しない。</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項目</w:t>
            </w:r>
          </w:p>
        </w:tc>
        <w:tc>
          <w:tcPr>
            <w:tcW w:type="dxa" w:w="71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規定</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サイズ</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91×55mm（日本標準）</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レイアウト</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余白を大きく取り、要素を中央〜左に寄せる。詰め込まない</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表面</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ロゴ＋余白を基調。情報は裏または下部に集約</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用紙</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上質・厚手（連量・四六判135kg相当以上）／微マット質感</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加工</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墨の活版・空押し（エンボス）、または赤の箔押しを推奨（過剰装飾は禁止）</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書体</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和文＝游ゴシック／欧文＝Neue Haas系。氏名以外は控えめなサイズ</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色</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墨＋紙白基調。赤は社名アクセント等の1点に限定</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33</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Presentation</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プレゼン資料規定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登壇・商談用スライドは「1スライド1メッセージ」を絶対原則とする。読ませる資料ではなく、見せる資料として設計する。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比率は16:9。セーフマージンを5%以上確保する。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1スライドの主メッセージは1つ。それを最上部に大きく置く。</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本文は箇条書き最大5項目・1項目1行を目安に絞る。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図解は墨・余白・灯（赤1点）で構成し、多色を禁止する。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アニメーションは登場のみ・最小限。装飾的トランジションを禁止する。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全スライドでフッターのロゴ位置・ページ番号位置を固定する。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各スライドのメッセージは1つに絞られているか。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赤は画面に1点のみか。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文字は会場後方からでも読めるサイズ（24pt以上目安）か。</w:t>
      </w:r>
    </w:p>
    <w:p>
      <w:pPr>
        <w:pageBreakBefore/>
        <w:spacing w:after="0" w:before="2400"/>
      </w:pPr>
      <w:r>
        <w:rPr>
          <w:rFonts w:ascii="Helvetica Neue" w:eastAsia="Yu Gothic" w:hAnsi="Helvetica Neue"/>
          <w:b/>
          <w:bCs/>
          <w:i w:val="false"/>
          <w:iCs w:val="false"/>
          <w:caps/>
          <w:color w:val="D91E18"/>
          <w:spacing w:val="80"/>
          <w:sz w:val="28"/>
          <w:szCs w:val="28"/>
        </w:rPr>
        <w:t xml:space="preserve">PART V</w:t>
      </w:r>
    </w:p>
    <w:p>
      <w:pPr>
        <w:pBdr>
          <w:bottom w:val="single" w:color="111111" w:sz="14" w:space="12"/>
        </w:pBdr>
        <w:spacing w:after="0" w:before="60"/>
      </w:pPr>
      <w:r>
        <w:rPr>
          <w:rFonts w:ascii="Helvetica Neue" w:eastAsia="Yu Gothic" w:hAnsi="Helvetica Neue"/>
          <w:b w:val="false"/>
          <w:bCs w:val="false"/>
          <w:i w:val="false"/>
          <w:iCs w:val="false"/>
          <w:caps w:val="false"/>
          <w:color w:val="5E5E5E"/>
          <w:spacing w:val="40"/>
          <w:sz w:val="26"/>
          <w:szCs w:val="26"/>
        </w:rPr>
        <w:t xml:space="preserve">Voice &amp; Language</w:t>
      </w:r>
    </w:p>
    <w:p>
      <w:pPr>
        <w:pStyle w:val="Heading1"/>
        <w:spacing w:after="120" w:before="220"/>
      </w:pPr>
      <w:r>
        <w:rPr>
          <w:rFonts w:ascii="Helvetica Neue" w:eastAsia="Yu Gothic" w:hAnsi="Helvetica Neue"/>
          <w:b/>
          <w:bCs/>
          <w:i w:val="false"/>
          <w:iCs w:val="false"/>
          <w:caps w:val="false"/>
          <w:color w:val="111111"/>
          <w:sz w:val="48"/>
          <w:szCs w:val="48"/>
        </w:rPr>
        <w:t xml:space="preserve">ブランドボイス・言語</w:t>
      </w:r>
    </w:p>
    <w:p>
      <w:pPr>
        <w:spacing w:after="200" w:before="60"/>
      </w:pPr>
      <w:r>
        <w:rPr>
          <w:rFonts w:ascii="Helvetica Neue" w:eastAsia="Yu Gothic" w:hAnsi="Helvetica Neue"/>
          <w:b w:val="false"/>
          <w:bCs w:val="false"/>
          <w:i w:val="false"/>
          <w:iCs w:val="false"/>
          <w:caps w:val="false"/>
          <w:color w:val="5E5E5E"/>
          <w:sz w:val="21"/>
          <w:szCs w:val="21"/>
        </w:rPr>
        <w:t xml:space="preserve">PHOSARAがどう語るか。言葉もまた、余白と本質をもって設計されたデザインである。</w:t>
      </w:r>
    </w:p>
    <w:p>
      <w:pPr>
        <w:keepNext/>
        <w:spacing w:after="0" w:before="360"/>
      </w:pPr>
      <w:r>
        <w:rPr>
          <w:rFonts w:ascii="Helvetica Neue" w:eastAsia="Yu Gothic" w:hAnsi="Helvetica Neue"/>
          <w:b/>
          <w:bCs/>
          <w:i w:val="false"/>
          <w:iCs w:val="false"/>
          <w:caps w:val="false"/>
          <w:color w:val="D91E18"/>
          <w:spacing w:val="40"/>
          <w:sz w:val="22"/>
          <w:szCs w:val="22"/>
        </w:rPr>
        <w:t xml:space="preserve">34</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Brand Voice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ブランドボイス</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PHOSARAの声は、静かで、明晰で、断定的である。声高に売り込まず、本質を一言で照らす。饒舌は本質をぼかす——私たちは言葉を削る。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3830"/>
        <w:gridCol w:w="3830"/>
      </w:tblGrid>
      <w:tr>
        <w:trPr>
          <w:tblHeader/>
        </w:trPr>
        <w:tc>
          <w:tcPr>
            <w:tcW w:type="dxa" w:w="17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声の特性</w:t>
            </w:r>
          </w:p>
        </w:tc>
        <w:tc>
          <w:tcPr>
            <w:tcW w:type="dxa" w:w="383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あるべき姿（DO）</w:t>
            </w:r>
          </w:p>
        </w:tc>
        <w:tc>
          <w:tcPr>
            <w:tcW w:type="dxa" w:w="383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避けるべき姿（DON'T）</w:t>
            </w:r>
          </w:p>
        </w:tc>
      </w:tr>
      <w:tr>
        <w:tc>
          <w:tcPr>
            <w:tcW w:type="dxa" w:w="17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静か</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落ち着いた断定。余白のある文</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煽り・感嘆符の多用・誇張</w:t>
            </w:r>
          </w:p>
        </w:tc>
      </w:tr>
      <w:tr>
        <w:tc>
          <w:tcPr>
            <w:tcW w:type="dxa" w:w="17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明晰</w:t>
            </w:r>
          </w:p>
        </w:tc>
        <w:tc>
          <w:tcPr>
            <w:tcW w:type="dxa" w:w="38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平易で具体的。専門語は最小限</w:t>
            </w:r>
          </w:p>
        </w:tc>
        <w:tc>
          <w:tcPr>
            <w:tcW w:type="dxa" w:w="38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曖昧・抽象的なバズワードの羅列</w:t>
            </w:r>
          </w:p>
        </w:tc>
      </w:tr>
      <w:tr>
        <w:tc>
          <w:tcPr>
            <w:tcW w:type="dxa" w:w="17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知的</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根拠と論理を持つ語り</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雰囲気だけ・中身のない情緒</w:t>
            </w:r>
          </w:p>
        </w:tc>
      </w:tr>
      <w:tr>
        <w:tc>
          <w:tcPr>
            <w:tcW w:type="dxa" w:w="17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誠実</w:t>
            </w:r>
          </w:p>
        </w:tc>
        <w:tc>
          <w:tcPr>
            <w:tcW w:type="dxa" w:w="38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できること・できないことを明言</w:t>
            </w:r>
          </w:p>
        </w:tc>
        <w:tc>
          <w:tcPr>
            <w:tcW w:type="dxa" w:w="38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過剰約束・誇大表現</w:t>
            </w:r>
          </w:p>
        </w:tc>
      </w:tr>
      <w:tr>
        <w:tc>
          <w:tcPr>
            <w:tcW w:type="dxa" w:w="17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品位</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相手への敬意ある言葉遣い</w:t>
            </w:r>
          </w:p>
        </w:tc>
        <w:tc>
          <w:tcPr>
            <w:tcW w:type="dxa" w:w="38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馴れ馴れしさ・流行語の安易な使用</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35</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Writing Rules</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ライティングルール</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表記を統一し、文章の質を一定に保つための実務ルール。社内外の制作者は本節に従う。</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項目</w:t>
            </w:r>
          </w:p>
        </w:tc>
        <w:tc>
          <w:tcPr>
            <w:tcW w:type="dxa" w:w="69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ルール</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文体</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原則「だ・である」を基本とし、媒体に応じ「です・ます」を選択。1制作物内で混在させない</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一文の長さ</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1文60字以内を目安に短く区切る。読点で延々と繋がない</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漢字とかな</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常用漢字を基本とし、過度な漢字使用を避ける（例:「出来る」→「できる」）</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数字</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半角アラビア数字。3桁区切りのカンマを使用（例: 1,000）</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英数の前後</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和文と半角英数の間は、組版上の四分アキを基本とする</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記号</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感嘆符・疑問符の多用を禁止。一文に複数の「！」を置かない</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ブランド名</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「PHOSARA」は常に大文字・半角。日本語表記は「フォサラ」</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禁止表現</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誇大・断定的な優劣表現（「業界No.1」等の根拠なき主張）を禁止</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36</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Copywriting</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コピーライティング原則</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PHOSARAのコピーは「光のメタファー」を核に持つ。短く、強く、本質を照らす。説明ではなく、輪郭を与える言葉を書く。</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コピーの構造原則</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核を1つに絞る —— 1コピーで伝える概念は1つ。</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余白を残す —— 言い切らずとも伝わる削り方を探す。</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リズムを設計する —— 体言止め・短文・対句で静かな強さを作る。</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光・境界・本質の語彙を基調にする —— ただし安易な多用を避ける。</w:t>
      </w:r>
    </w:p>
    <w:p>
      <w:pPr>
        <w:pStyle w:val="ListParagraph"/>
        <w:numPr>
          <w:ilvl w:val="0"/>
          <w:numId w:val="3"/>
        </w:numPr>
        <w:spacing w:after="70" w:line="300" w:lineRule="auto"/>
      </w:pPr>
      <w:r>
        <w:rPr>
          <w:rFonts w:ascii="Helvetica Neue" w:eastAsia="Yu Gothic" w:hAnsi="Helvetica Neue"/>
          <w:b w:val="false"/>
          <w:bCs w:val="false"/>
          <w:i w:val="false"/>
          <w:iCs w:val="false"/>
          <w:caps w:val="false"/>
          <w:color w:val="111111"/>
          <w:sz w:val="20"/>
          <w:szCs w:val="20"/>
        </w:rPr>
        <w:t xml:space="preserve">最後に削る —— 書いた後、必ず1割の言葉を削ってから提出する。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可否の例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tblHeader/>
        </w:trPr>
        <w:tc>
          <w:tcPr>
            <w:tcW w:type="dxa" w:w="468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NG（避ける）</w:t>
            </w:r>
          </w:p>
        </w:tc>
        <w:tc>
          <w:tcPr>
            <w:tcW w:type="dxa" w:w="468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OK（PHOSARAらしい）</w:t>
            </w:r>
          </w:p>
        </w:tc>
      </w:tr>
      <w:tr>
        <w:tc>
          <w:tcPr>
            <w:tcW w:type="dxa" w:w="46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圧倒的なデザインで業界を変える革命的スタジオ！</w:t>
            </w:r>
          </w:p>
        </w:tc>
        <w:tc>
          <w:tcPr>
            <w:tcW w:type="dxa" w:w="46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見えない価値に、輪郭を。</w:t>
            </w:r>
          </w:p>
        </w:tc>
      </w:tr>
      <w:tr>
        <w:tc>
          <w:tcPr>
            <w:tcW w:type="dxa" w:w="46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最高品質のクリエイティブを最速でお届けします！！</w:t>
            </w:r>
          </w:p>
        </w:tc>
        <w:tc>
          <w:tcPr>
            <w:tcW w:type="dxa" w:w="468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本質だけを、確かに届ける。</w:t>
            </w:r>
          </w:p>
        </w:tc>
      </w:tr>
      <w:tr>
        <w:tc>
          <w:tcPr>
            <w:tcW w:type="dxa" w:w="46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とにかくおしゃれでかっこいいデザインを作ります</w:t>
            </w:r>
          </w:p>
        </w:tc>
        <w:tc>
          <w:tcPr>
            <w:tcW w:type="dxa" w:w="468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削ぎ落とした先に、光は残る。</w:t>
            </w:r>
          </w:p>
        </w:tc>
      </w:tr>
    </w:tbl>
    <w:p>
      <w:pPr>
        <w:spacing w:after="120" w:before="0" w:line="312" w:lineRule="auto"/>
        <w:jc w:val="both"/>
      </w:pPr>
      <w:r>
        <w:rPr>
          <w:rFonts w:ascii="Helvetica Neue" w:eastAsia="Yu Gothic" w:hAnsi="Helvetica Neue"/>
          <w:b/>
          <w:bCs/>
          <w:i w:val="false"/>
          <w:iCs w:val="false"/>
          <w:caps w:val="false"/>
          <w:color w:val="D91E18"/>
          <w:sz w:val="20"/>
          <w:szCs w:val="20"/>
        </w:rPr>
        <w:t xml:space="preserve">原則: </w:t>
      </w:r>
      <w:r>
        <w:rPr>
          <w:rFonts w:ascii="Helvetica Neue" w:eastAsia="Yu Gothic" w:hAnsi="Helvetica Neue"/>
          <w:b w:val="false"/>
          <w:bCs w:val="false"/>
          <w:i w:val="false"/>
          <w:iCs w:val="false"/>
          <w:caps w:val="false"/>
          <w:color w:val="111111"/>
          <w:sz w:val="20"/>
          <w:szCs w:val="20"/>
        </w:rPr>
        <w:t xml:space="preserve">形容詞で飾るのではなく、削ることで強さを生む。これがPHOSARAのコピーである。</w:t>
      </w:r>
    </w:p>
    <w:p>
      <w:pPr>
        <w:pageBreakBefore/>
        <w:spacing w:after="0" w:before="2400"/>
      </w:pPr>
      <w:r>
        <w:rPr>
          <w:rFonts w:ascii="Helvetica Neue" w:eastAsia="Yu Gothic" w:hAnsi="Helvetica Neue"/>
          <w:b/>
          <w:bCs/>
          <w:i w:val="false"/>
          <w:iCs w:val="false"/>
          <w:caps/>
          <w:color w:val="D91E18"/>
          <w:spacing w:val="80"/>
          <w:sz w:val="28"/>
          <w:szCs w:val="28"/>
        </w:rPr>
        <w:t xml:space="preserve">PART VI</w:t>
      </w:r>
    </w:p>
    <w:p>
      <w:pPr>
        <w:pBdr>
          <w:bottom w:val="single" w:color="111111" w:sz="14" w:space="12"/>
        </w:pBdr>
        <w:spacing w:after="0" w:before="60"/>
      </w:pPr>
      <w:r>
        <w:rPr>
          <w:rFonts w:ascii="Helvetica Neue" w:eastAsia="Yu Gothic" w:hAnsi="Helvetica Neue"/>
          <w:b w:val="false"/>
          <w:bCs w:val="false"/>
          <w:i w:val="false"/>
          <w:iCs w:val="false"/>
          <w:caps w:val="false"/>
          <w:color w:val="5E5E5E"/>
          <w:spacing w:val="40"/>
          <w:sz w:val="26"/>
          <w:szCs w:val="26"/>
        </w:rPr>
        <w:t xml:space="preserve">AI &amp; Production</w:t>
      </w:r>
    </w:p>
    <w:p>
      <w:pPr>
        <w:pStyle w:val="Heading1"/>
        <w:spacing w:after="120" w:before="220"/>
      </w:pPr>
      <w:r>
        <w:rPr>
          <w:rFonts w:ascii="Helvetica Neue" w:eastAsia="Yu Gothic" w:hAnsi="Helvetica Neue"/>
          <w:b/>
          <w:bCs/>
          <w:i w:val="false"/>
          <w:iCs w:val="false"/>
          <w:caps w:val="false"/>
          <w:color w:val="111111"/>
          <w:sz w:val="48"/>
          <w:szCs w:val="48"/>
        </w:rPr>
        <w:t xml:space="preserve">AI・制作ガイドライン</w:t>
      </w:r>
    </w:p>
    <w:p>
      <w:pPr>
        <w:spacing w:after="200" w:before="60"/>
      </w:pPr>
      <w:r>
        <w:rPr>
          <w:rFonts w:ascii="Helvetica Neue" w:eastAsia="Yu Gothic" w:hAnsi="Helvetica Neue"/>
          <w:b w:val="false"/>
          <w:bCs w:val="false"/>
          <w:i w:val="false"/>
          <w:iCs w:val="false"/>
          <w:caps w:val="false"/>
          <w:color w:val="5E5E5E"/>
          <w:sz w:val="21"/>
          <w:szCs w:val="21"/>
        </w:rPr>
        <w:t xml:space="preserve">AIを使っても、品質はPHOSARAの基準で測る。生成はあくまで素材であり、最終責任は人にある。</w:t>
      </w:r>
    </w:p>
    <w:p>
      <w:pPr>
        <w:keepNext/>
        <w:spacing w:after="0" w:before="360"/>
      </w:pPr>
      <w:r>
        <w:rPr>
          <w:rFonts w:ascii="Helvetica Neue" w:eastAsia="Yu Gothic" w:hAnsi="Helvetica Neue"/>
          <w:b/>
          <w:bCs/>
          <w:i w:val="false"/>
          <w:iCs w:val="false"/>
          <w:caps w:val="false"/>
          <w:color w:val="D91E18"/>
          <w:spacing w:val="40"/>
          <w:sz w:val="22"/>
          <w:szCs w:val="22"/>
        </w:rPr>
        <w:t xml:space="preserve">37</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AI Image Generation</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AI画像生成ガイドライン</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PHOSARAはAI画像生成を制作の加速に活用する。ただし、生成物をそのまま納品することはない。AIは「下書き・素材」であり、ブランド基準で人が監修・選別・仕上げを行う。</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プロンプト設計の規範</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PHOSARAのトーン（低彩度・余白・一方向の光・静寂）を必ず指定する。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高彩度・装飾過多・クリシェな構図を明示的に除外する。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ブランド赤（#D91E18）を使う場合は「一点のアクセント」として指定する。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比率・解像度・用途（媒体）を最初に固定してから生成する。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必須・禁止</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7960"/>
      </w:tblGrid>
      <w:tr>
        <w:trPr>
          <w:tblHeader/>
        </w:trPr>
        <w:tc>
          <w:tcPr>
            <w:tcW w:type="dxa" w:w="1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区分</w:t>
            </w:r>
          </w:p>
        </w:tc>
        <w:tc>
          <w:tcPr>
            <w:tcW w:type="dxa" w:w="79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内容</w:t>
            </w:r>
          </w:p>
        </w:tc>
      </w:tr>
      <w:tr>
        <w:tc>
          <w:tcPr>
            <w:tcW w:type="dxa" w:w="1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D91E18"/>
                <w:sz w:val="18"/>
                <w:szCs w:val="18"/>
              </w:rPr>
              <w:t xml:space="preserve">必須</w:t>
            </w:r>
          </w:p>
        </w:tc>
        <w:tc>
          <w:tcPr>
            <w:tcW w:type="dxa" w:w="7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生成物は人による品質レビュー（第39節）を通過させる</w:t>
            </w:r>
          </w:p>
        </w:tc>
      </w:tr>
      <w:tr>
        <w:tc>
          <w:tcPr>
            <w:tcW w:type="dxa" w:w="1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D91E18"/>
                <w:sz w:val="18"/>
                <w:szCs w:val="18"/>
              </w:rPr>
              <w:t xml:space="preserve">必須</w:t>
            </w:r>
          </w:p>
        </w:tc>
        <w:tc>
          <w:tcPr>
            <w:tcW w:type="dxa" w:w="7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実在人物・既存ブランド・著作物の模倣を排除し、権利確認を行う</w:t>
            </w:r>
          </w:p>
        </w:tc>
      </w:tr>
      <w:tr>
        <w:tc>
          <w:tcPr>
            <w:tcW w:type="dxa" w:w="1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D91E18"/>
                <w:sz w:val="18"/>
                <w:szCs w:val="18"/>
              </w:rPr>
              <w:t xml:space="preserve">必須</w:t>
            </w:r>
          </w:p>
        </w:tc>
        <w:tc>
          <w:tcPr>
            <w:tcW w:type="dxa" w:w="7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クライアント納品時、AI利用の有無・範囲を社内記録に残す</w:t>
            </w:r>
          </w:p>
        </w:tc>
      </w:tr>
      <w:tr>
        <w:tc>
          <w:tcPr>
            <w:tcW w:type="dxa" w:w="1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禁止</w:t>
            </w:r>
          </w:p>
        </w:tc>
        <w:tc>
          <w:tcPr>
            <w:tcW w:type="dxa" w:w="7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生成物の無修正での納品</w:t>
            </w:r>
          </w:p>
        </w:tc>
      </w:tr>
      <w:tr>
        <w:tc>
          <w:tcPr>
            <w:tcW w:type="dxa" w:w="1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禁止</w:t>
            </w:r>
          </w:p>
        </w:tc>
        <w:tc>
          <w:tcPr>
            <w:tcW w:type="dxa" w:w="7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虚偽・誤認を招く表現（実在しない実績の画像化等）</w:t>
            </w:r>
          </w:p>
        </w:tc>
      </w:tr>
      <w:tr>
        <w:tc>
          <w:tcPr>
            <w:tcW w:type="dxa" w:w="1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111111"/>
                <w:sz w:val="18"/>
                <w:szCs w:val="18"/>
              </w:rPr>
              <w:t xml:space="preserve">禁止</w:t>
            </w:r>
          </w:p>
        </w:tc>
        <w:tc>
          <w:tcPr>
            <w:tcW w:type="dxa" w:w="7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他者の作風・ロゴ・キャラクターの直接的な再現</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38</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AI in Design Workflow</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AIデザインガイドライン</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AIは発想・量産・検証を加速するが、判断はしない。PHOSARAはヒューマン・イン・ザ・ループを原則とし、役割を明確に分担する。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530"/>
        <w:gridCol w:w="3930"/>
      </w:tblGrid>
      <w:tr>
        <w:trPr>
          <w:tblHeader/>
        </w:trPr>
        <w:tc>
          <w:tcPr>
            <w:tcW w:type="dxa" w:w="19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工程</w:t>
            </w:r>
          </w:p>
        </w:tc>
        <w:tc>
          <w:tcPr>
            <w:tcW w:type="dxa" w:w="353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AIの役割</w:t>
            </w:r>
          </w:p>
        </w:tc>
        <w:tc>
          <w:tcPr>
            <w:tcW w:type="dxa" w:w="393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人の役割（最終責任）</w:t>
            </w:r>
          </w:p>
        </w:tc>
      </w:tr>
      <w:tr>
        <w:tc>
          <w:tcPr>
            <w:tcW w:type="dxa" w:w="19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発散・案出し</w:t>
            </w:r>
          </w:p>
        </w:tc>
        <w:tc>
          <w:tcPr>
            <w:tcW w:type="dxa" w:w="35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選択肢の大量生成</w:t>
            </w:r>
          </w:p>
        </w:tc>
        <w:tc>
          <w:tcPr>
            <w:tcW w:type="dxa" w:w="39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方向性の定義と取捨選択</w:t>
            </w:r>
          </w:p>
        </w:tc>
      </w:tr>
      <w:tr>
        <w:tc>
          <w:tcPr>
            <w:tcW w:type="dxa" w:w="19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素材生成</w:t>
            </w:r>
          </w:p>
        </w:tc>
        <w:tc>
          <w:tcPr>
            <w:tcW w:type="dxa" w:w="35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画像・テクスチャ等の生成</w:t>
            </w:r>
          </w:p>
        </w:tc>
        <w:tc>
          <w:tcPr>
            <w:tcW w:type="dxa" w:w="39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ブランド基準での選別・補正</w:t>
            </w:r>
          </w:p>
        </w:tc>
      </w:tr>
      <w:tr>
        <w:tc>
          <w:tcPr>
            <w:tcW w:type="dxa" w:w="19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量産・派生</w:t>
            </w:r>
          </w:p>
        </w:tc>
        <w:tc>
          <w:tcPr>
            <w:tcW w:type="dxa" w:w="35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サイズ・言語展開の自動化</w:t>
            </w:r>
          </w:p>
        </w:tc>
        <w:tc>
          <w:tcPr>
            <w:tcW w:type="dxa" w:w="393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崩れ・誤りの検収</w:t>
            </w:r>
          </w:p>
        </w:tc>
      </w:tr>
      <w:tr>
        <w:tc>
          <w:tcPr>
            <w:tcW w:type="dxa" w:w="19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検証</w:t>
            </w:r>
          </w:p>
        </w:tc>
        <w:tc>
          <w:tcPr>
            <w:tcW w:type="dxa" w:w="35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コントラスト・表記の機械チェック</w:t>
            </w:r>
          </w:p>
        </w:tc>
        <w:tc>
          <w:tcPr>
            <w:tcW w:type="dxa" w:w="393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意味・文脈・品位の判断</w:t>
            </w:r>
          </w:p>
        </w:tc>
      </w:tr>
    </w:tbl>
    <w:p>
      <w:pPr>
        <w:spacing w:after="120" w:before="0" w:line="312" w:lineRule="auto"/>
        <w:jc w:val="both"/>
      </w:pPr>
      <w:r>
        <w:rPr>
          <w:rFonts w:ascii="Helvetica Neue" w:eastAsia="Yu Gothic" w:hAnsi="Helvetica Neue"/>
          <w:b/>
          <w:bCs/>
          <w:i w:val="false"/>
          <w:iCs w:val="false"/>
          <w:caps w:val="false"/>
          <w:color w:val="D91E18"/>
          <w:sz w:val="20"/>
          <w:szCs w:val="20"/>
        </w:rPr>
        <w:t xml:space="preserve">不変の原則: </w:t>
      </w:r>
      <w:r>
        <w:rPr>
          <w:rFonts w:ascii="Helvetica Neue" w:eastAsia="Yu Gothic" w:hAnsi="Helvetica Neue"/>
          <w:b w:val="false"/>
          <w:bCs w:val="false"/>
          <w:i w:val="false"/>
          <w:iCs w:val="false"/>
          <w:caps w:val="false"/>
          <w:color w:val="111111"/>
          <w:sz w:val="20"/>
          <w:szCs w:val="20"/>
        </w:rPr>
        <w:t xml:space="preserve">AIが生成しても、PHOSARAの名で世に出る以上、品質責任はすべて人（制作者・監修者）にある。</w:t>
      </w:r>
    </w:p>
    <w:p>
      <w:pPr>
        <w:keepNext/>
        <w:spacing w:after="0" w:before="360"/>
      </w:pPr>
      <w:r>
        <w:rPr>
          <w:rFonts w:ascii="Helvetica Neue" w:eastAsia="Yu Gothic" w:hAnsi="Helvetica Neue"/>
          <w:b/>
          <w:bCs/>
          <w:i w:val="false"/>
          <w:iCs w:val="false"/>
          <w:caps w:val="false"/>
          <w:color w:val="D91E18"/>
          <w:spacing w:val="40"/>
          <w:sz w:val="22"/>
          <w:szCs w:val="22"/>
        </w:rPr>
        <w:t xml:space="preserve">39</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Design Quality Standard</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デザイン品質基準</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すべての制作物は、書き出し・納品前に下記スコアカードで自己採点する。各項目2点・合計10点満点。8点未満は納品不可とし、修正する。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5160"/>
        <w:gridCol w:w="2000"/>
      </w:tblGrid>
      <w:tr>
        <w:trPr>
          <w:tblHeader/>
        </w:trPr>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評価項目</w:t>
            </w:r>
          </w:p>
        </w:tc>
        <w:tc>
          <w:tcPr>
            <w:tcW w:type="dxa" w:w="51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確認内容</w:t>
            </w:r>
          </w:p>
        </w:tc>
        <w:tc>
          <w:tcPr>
            <w:tcW w:type="dxa" w:w="2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配点</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ブランド整合</w:t>
            </w:r>
          </w:p>
        </w:tc>
        <w:tc>
          <w:tcPr>
            <w:tcW w:type="dxa" w:w="5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色・書体・ロゴ規定に準拠しているか</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0–2</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余白・静寂</w:t>
            </w:r>
          </w:p>
        </w:tc>
        <w:tc>
          <w:tcPr>
            <w:tcW w:type="dxa" w:w="5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詰め込まず、余白で語れているか</w:t>
            </w:r>
          </w:p>
        </w:tc>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0–2</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可読・視認</w:t>
            </w:r>
          </w:p>
        </w:tc>
        <w:tc>
          <w:tcPr>
            <w:tcW w:type="dxa" w:w="5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コントラスト・文字サイズが基準を満たすか</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0–2</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本質・絞り込み</w:t>
            </w:r>
          </w:p>
        </w:tc>
        <w:tc>
          <w:tcPr>
            <w:tcW w:type="dxa" w:w="5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メッセージが1点に絞られているか</w:t>
            </w:r>
          </w:p>
        </w:tc>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0–2</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再現性</w:t>
            </w:r>
          </w:p>
        </w:tc>
        <w:tc>
          <w:tcPr>
            <w:tcW w:type="dxa" w:w="5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規定データから誰でも再現できるか</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center"/>
            </w:pPr>
            <w:r>
              <w:rPr>
                <w:rFonts w:ascii="Helvetica Neue" w:eastAsia="Yu Gothic" w:hAnsi="Helvetica Neue"/>
                <w:b w:val="false"/>
                <w:bCs w:val="false"/>
                <w:i w:val="false"/>
                <w:iCs w:val="false"/>
                <w:caps w:val="false"/>
                <w:color w:val="111111"/>
                <w:sz w:val="19"/>
                <w:szCs w:val="19"/>
              </w:rPr>
              <w:t xml:space="preserve">0–2</w:t>
            </w:r>
          </w:p>
        </w:tc>
      </w:tr>
    </w:tbl>
    <w:p>
      <w:pPr>
        <w:spacing w:after="120" w:before="0" w:line="312" w:lineRule="auto"/>
        <w:jc w:val="both"/>
      </w:pPr>
      <w:r>
        <w:rPr>
          <w:rFonts w:ascii="Helvetica Neue" w:eastAsia="Yu Gothic" w:hAnsi="Helvetica Neue"/>
          <w:b/>
          <w:bCs/>
          <w:i w:val="false"/>
          <w:iCs w:val="false"/>
          <w:caps w:val="false"/>
          <w:color w:val="D91E18"/>
          <w:sz w:val="20"/>
          <w:szCs w:val="20"/>
        </w:rPr>
        <w:t xml:space="preserve">合格ライン: </w:t>
      </w:r>
      <w:r>
        <w:rPr>
          <w:rFonts w:ascii="Helvetica Neue" w:eastAsia="Yu Gothic" w:hAnsi="Helvetica Neue"/>
          <w:b w:val="false"/>
          <w:bCs w:val="false"/>
          <w:i w:val="false"/>
          <w:iCs w:val="false"/>
          <w:caps w:val="false"/>
          <w:color w:val="111111"/>
          <w:sz w:val="20"/>
          <w:szCs w:val="20"/>
        </w:rPr>
        <w:t xml:space="preserve">8点以上で納品可。いずれかの項目が0点の場合は、合計点に関わらず修正必須とする。</w:t>
      </w:r>
    </w:p>
    <w:p>
      <w:pPr>
        <w:keepNext/>
        <w:spacing w:after="0" w:before="360"/>
      </w:pPr>
      <w:r>
        <w:rPr>
          <w:rFonts w:ascii="Helvetica Neue" w:eastAsia="Yu Gothic" w:hAnsi="Helvetica Neue"/>
          <w:b/>
          <w:bCs/>
          <w:i w:val="false"/>
          <w:iCs w:val="false"/>
          <w:caps w:val="false"/>
          <w:color w:val="D91E18"/>
          <w:spacing w:val="40"/>
          <w:sz w:val="22"/>
          <w:szCs w:val="22"/>
        </w:rPr>
        <w:t xml:space="preserve">40</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Mockup Usage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モックアップ活用例</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提案・検収時は、実環境を想定したモックアップで最終確認する。画面上の見え方と、現物・実機の見え方は異なるためである。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6760"/>
      </w:tblGrid>
      <w:tr>
        <w:trPr>
          <w:tblHeader/>
        </w:trPr>
        <w:tc>
          <w:tcPr>
            <w:tcW w:type="dxa" w:w="26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制作物</w:t>
            </w:r>
          </w:p>
        </w:tc>
        <w:tc>
          <w:tcPr>
            <w:tcW w:type="dxa" w:w="67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確認すべきモックアップ</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名刺・印刷物</w:t>
            </w:r>
          </w:p>
        </w:tc>
        <w:tc>
          <w:tcPr>
            <w:tcW w:type="dxa" w:w="6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実寸プリント＋手に持った状態・用紙質感</w:t>
            </w:r>
          </w:p>
        </w:tc>
      </w:tr>
      <w:tr>
        <w:tc>
          <w:tcPr>
            <w:tcW w:type="dxa" w:w="26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Web</w:t>
            </w:r>
          </w:p>
        </w:tc>
        <w:tc>
          <w:tcPr>
            <w:tcW w:type="dxa" w:w="6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PC／スマホ実機・主要ブラウザ・ダークモード</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サイン・看板</w:t>
            </w:r>
          </w:p>
        </w:tc>
        <w:tc>
          <w:tcPr>
            <w:tcW w:type="dxa" w:w="6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設置距離からの視認・昼夜の見え方</w:t>
            </w:r>
          </w:p>
        </w:tc>
      </w:tr>
      <w:tr>
        <w:tc>
          <w:tcPr>
            <w:tcW w:type="dxa" w:w="26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SNS</w:t>
            </w:r>
          </w:p>
        </w:tc>
        <w:tc>
          <w:tcPr>
            <w:tcW w:type="dxa" w:w="67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実アプリのフィード／グリッド表示</w:t>
            </w:r>
          </w:p>
        </w:tc>
      </w:tr>
      <w:tr>
        <w:tc>
          <w:tcPr>
            <w:tcW w:type="dxa" w:w="2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パッケージ・グッズ</w:t>
            </w:r>
          </w:p>
        </w:tc>
        <w:tc>
          <w:tcPr>
            <w:tcW w:type="dxa" w:w="67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実素材サンプル・光の当たり方</w:t>
            </w:r>
          </w:p>
        </w:tc>
      </w:tr>
    </w:tbl>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実寸・実機・実環境での確認を行ったか（画面プレビューのみで判断していないか）。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最小サイズ・コントラストが実環境で破綻していないか。</w:t>
      </w:r>
    </w:p>
    <w:p>
      <w:pPr>
        <w:keepNext/>
        <w:spacing w:after="0" w:before="360"/>
      </w:pPr>
      <w:r>
        <w:rPr>
          <w:rFonts w:ascii="Helvetica Neue" w:eastAsia="Yu Gothic" w:hAnsi="Helvetica Neue"/>
          <w:b/>
          <w:bCs/>
          <w:i w:val="false"/>
          <w:iCs w:val="false"/>
          <w:caps w:val="false"/>
          <w:color w:val="D91E18"/>
          <w:spacing w:val="40"/>
          <w:sz w:val="22"/>
          <w:szCs w:val="22"/>
        </w:rPr>
        <w:t xml:space="preserve">41</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Signage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サイン・看板展開例</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サイン・看板は遠距離・屋外・夜間という過酷な条件で読まれる。視認性を最優先し、余白を保ったまま大きく見せる。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項目</w:t>
            </w:r>
          </w:p>
        </w:tc>
        <w:tc>
          <w:tcPr>
            <w:tcW w:type="dxa" w:w="71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規定</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視認距離</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想定距離の文字高は「距離(m)×2.5cm」以上を目安</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ロゴ最小高</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屋外サインは高さ150mm以上を推奨</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コントラスト</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墨地に白抜き、または紙白地に墨。中間色背景を避ける</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夜間</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内照式・スポット照明で均一に照らす。赤の核は光源で潰さない</w:t>
            </w:r>
          </w:p>
        </w:tc>
      </w:tr>
      <w:tr>
        <w:tc>
          <w:tcPr>
            <w:tcW w:type="dxa" w:w="2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素材</w:t>
            </w:r>
          </w:p>
        </w:tc>
        <w:tc>
          <w:tcPr>
            <w:tcW w:type="dxa" w:w="71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マット仕上げを基本とし、反射で視認を妨げない</w:t>
            </w:r>
          </w:p>
        </w:tc>
      </w:tr>
      <w:tr>
        <w:tc>
          <w:tcPr>
            <w:tcW w:type="dxa" w:w="2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余白</w:t>
            </w:r>
          </w:p>
        </w:tc>
        <w:tc>
          <w:tcPr>
            <w:tcW w:type="dxa" w:w="71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保護エリア（10.1ユニット相当）を必ず確保する</w:t>
            </w:r>
          </w:p>
        </w:tc>
      </w:tr>
    </w:tbl>
    <w:p>
      <w:pPr>
        <w:pageBreakBefore/>
        <w:spacing w:after="0" w:before="2400"/>
      </w:pPr>
      <w:r>
        <w:rPr>
          <w:rFonts w:ascii="Helvetica Neue" w:eastAsia="Yu Gothic" w:hAnsi="Helvetica Neue"/>
          <w:b/>
          <w:bCs/>
          <w:i w:val="false"/>
          <w:iCs w:val="false"/>
          <w:caps/>
          <w:color w:val="D91E18"/>
          <w:spacing w:val="80"/>
          <w:sz w:val="28"/>
          <w:szCs w:val="28"/>
        </w:rPr>
        <w:t xml:space="preserve">PART VII</w:t>
      </w:r>
    </w:p>
    <w:p>
      <w:pPr>
        <w:pBdr>
          <w:bottom w:val="single" w:color="111111" w:sz="14" w:space="12"/>
        </w:pBdr>
        <w:spacing w:after="0" w:before="60"/>
      </w:pPr>
      <w:r>
        <w:rPr>
          <w:rFonts w:ascii="Helvetica Neue" w:eastAsia="Yu Gothic" w:hAnsi="Helvetica Neue"/>
          <w:b w:val="false"/>
          <w:bCs w:val="false"/>
          <w:i w:val="false"/>
          <w:iCs w:val="false"/>
          <w:caps w:val="false"/>
          <w:color w:val="5E5E5E"/>
          <w:spacing w:val="40"/>
          <w:sz w:val="26"/>
          <w:szCs w:val="26"/>
        </w:rPr>
        <w:t xml:space="preserve">Corporate &amp; Business</w:t>
      </w:r>
    </w:p>
    <w:p>
      <w:pPr>
        <w:pStyle w:val="Heading1"/>
        <w:spacing w:after="120" w:before="220"/>
      </w:pPr>
      <w:r>
        <w:rPr>
          <w:rFonts w:ascii="Helvetica Neue" w:eastAsia="Yu Gothic" w:hAnsi="Helvetica Neue"/>
          <w:b/>
          <w:bCs/>
          <w:i w:val="false"/>
          <w:iCs w:val="false"/>
          <w:caps w:val="false"/>
          <w:color w:val="111111"/>
          <w:sz w:val="48"/>
          <w:szCs w:val="48"/>
        </w:rPr>
        <w:t xml:space="preserve">事業展開・コーポレート</w:t>
      </w:r>
    </w:p>
    <w:p>
      <w:pPr>
        <w:spacing w:after="200" w:before="60"/>
      </w:pPr>
      <w:r>
        <w:rPr>
          <w:rFonts w:ascii="Helvetica Neue" w:eastAsia="Yu Gothic" w:hAnsi="Helvetica Neue"/>
          <w:b w:val="false"/>
          <w:bCs w:val="false"/>
          <w:i w:val="false"/>
          <w:iCs w:val="false"/>
          <w:caps w:val="false"/>
          <w:color w:val="5E5E5E"/>
          <w:sz w:val="21"/>
          <w:szCs w:val="21"/>
        </w:rPr>
        <w:t xml:space="preserve">PHOSARAを企業として運用し、各事業へ展開するための規定。領域が変わってもブランドは一つである。</w:t>
      </w:r>
    </w:p>
    <w:p>
      <w:pPr>
        <w:keepNext/>
        <w:spacing w:after="0" w:before="360"/>
      </w:pPr>
      <w:r>
        <w:rPr>
          <w:rFonts w:ascii="Helvetica Neue" w:eastAsia="Yu Gothic" w:hAnsi="Helvetica Neue"/>
          <w:b/>
          <w:bCs/>
          <w:i w:val="false"/>
          <w:iCs w:val="false"/>
          <w:caps w:val="false"/>
          <w:color w:val="D91E18"/>
          <w:spacing w:val="40"/>
          <w:sz w:val="22"/>
          <w:szCs w:val="22"/>
        </w:rPr>
        <w:t xml:space="preserve">42</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Corporate Identity</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コーポレートアイデンティティ規定</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企業としての公式表記・書式を統一する。対外文書は本節の書式に従う。</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項目</w:t>
            </w:r>
          </w:p>
        </w:tc>
        <w:tc>
          <w:tcPr>
            <w:tcW w:type="dxa" w:w="69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規定</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正式社名表記</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英字「PHOSARA」（大文字・半角）／和文「フォサラ」</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ロックアップ</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シンボル＋ロゴタイプの位置関係を固定。任意の組み替えを禁止</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レターヘッド</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上部にロゴ・余白を確保。本文は游ゴシック10.5pt・行間1.7</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封筒</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墨ロゴ＋紙白。差出は控えめに左上または裏面</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メール署名</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氏名・部署・PHOSARA・連絡先のみ。装飾画像を入れない</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印章・捺印欄</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モノクロ版ロゴを使用</w:t>
            </w:r>
          </w:p>
        </w:tc>
      </w:tr>
    </w:tbl>
    <w:p>
      <w:pPr>
        <w:keepNext/>
        <w:spacing w:after="0" w:before="360"/>
      </w:pPr>
      <w:r>
        <w:rPr>
          <w:rFonts w:ascii="Helvetica Neue" w:eastAsia="Yu Gothic" w:hAnsi="Helvetica Neue"/>
          <w:b/>
          <w:bCs/>
          <w:i w:val="false"/>
          <w:iCs w:val="false"/>
          <w:caps w:val="false"/>
          <w:color w:val="D91E18"/>
          <w:spacing w:val="40"/>
          <w:sz w:val="22"/>
          <w:szCs w:val="22"/>
        </w:rPr>
        <w:t xml:space="preserve">43</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Brand Architecture</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将来のブランド拡張戦略</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PHOSARAはマスターブランドである。新規プロダクト・サービスは原則として「PHOSARA ＋ 機能名」のサブブランド方式で展開し、ブランド資産を一点に集約する。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600"/>
        <w:gridCol w:w="3360"/>
      </w:tblGrid>
      <w:tr>
        <w:trPr>
          <w:tblHeader/>
        </w:trPr>
        <w:tc>
          <w:tcPr>
            <w:tcW w:type="dxa" w:w="2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階層</w:t>
            </w:r>
          </w:p>
        </w:tc>
        <w:tc>
          <w:tcPr>
            <w:tcW w:type="dxa" w:w="36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命名方式</w:t>
            </w:r>
          </w:p>
        </w:tc>
        <w:tc>
          <w:tcPr>
            <w:tcW w:type="dxa" w:w="33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例</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マスターブランド</w:t>
            </w:r>
          </w:p>
        </w:tc>
        <w:tc>
          <w:tcPr>
            <w:tcW w:type="dxa" w:w="3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w:t>
            </w:r>
          </w:p>
        </w:tc>
        <w:tc>
          <w:tcPr>
            <w:tcW w:type="dxa" w:w="33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事業／サービス</w:t>
            </w:r>
          </w:p>
        </w:tc>
        <w:tc>
          <w:tcPr>
            <w:tcW w:type="dxa" w:w="36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 ＋ 記述名（英）</w:t>
            </w:r>
          </w:p>
        </w:tc>
        <w:tc>
          <w:tcPr>
            <w:tcW w:type="dxa" w:w="33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 Studio / PHOSARA AI</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プロダクト</w:t>
            </w:r>
          </w:p>
        </w:tc>
        <w:tc>
          <w:tcPr>
            <w:tcW w:type="dxa" w:w="36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PHOSARA ＋ 固有名</w:t>
            </w:r>
          </w:p>
        </w:tc>
        <w:tc>
          <w:tcPr>
            <w:tcW w:type="dxa" w:w="33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9"/>
                <w:szCs w:val="19"/>
              </w:rPr>
              <w:t xml:space="preserve">（個別審査の上で付与）</w:t>
            </w:r>
          </w:p>
        </w:tc>
      </w:tr>
    </w:tbl>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独立ロゴを持つ別ブランドの乱立を避け、PHOSARAへの想起を一点に集める。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サブブランドもシンボル・色・書体の規定を共有する（核は不変）。</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新ブランド名・新ロゴの創設は、ブランド管理責任者の承認を必須とする。</w:t>
      </w:r>
    </w:p>
    <w:p>
      <w:pPr>
        <w:keepNext/>
        <w:spacing w:after="0" w:before="360"/>
      </w:pPr>
      <w:r>
        <w:rPr>
          <w:rFonts w:ascii="Helvetica Neue" w:eastAsia="Yu Gothic" w:hAnsi="Helvetica Neue"/>
          <w:b/>
          <w:bCs/>
          <w:i w:val="false"/>
          <w:iCs w:val="false"/>
          <w:caps w:val="false"/>
          <w:color w:val="D91E18"/>
          <w:spacing w:val="40"/>
          <w:sz w:val="22"/>
          <w:szCs w:val="22"/>
        </w:rPr>
        <w:t xml:space="preserve">44</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Design Business</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デザイン事業適用ルール</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デザイン事業はPHOSARAの中核である。受託制作においても、本書の品質基準を一切下げない。</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案件着手前に、クライアントの「核（Essence）」を言語化し合意したか。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成果物は品質スコア（第39節）8点以上か。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納品データはベクター原本・規定準拠で、再現可能な形で引き渡したか。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クライアント側ガイドラインと競合する場合、優先順位を事前合意したか。</w:t>
      </w:r>
    </w:p>
    <w:p>
      <w:pPr>
        <w:keepNext/>
        <w:spacing w:after="0" w:before="360"/>
      </w:pPr>
      <w:r>
        <w:rPr>
          <w:rFonts w:ascii="Helvetica Neue" w:eastAsia="Yu Gothic" w:hAnsi="Helvetica Neue"/>
          <w:b/>
          <w:bCs/>
          <w:i w:val="false"/>
          <w:iCs w:val="false"/>
          <w:caps w:val="false"/>
          <w:color w:val="D91E18"/>
          <w:spacing w:val="40"/>
          <w:sz w:val="22"/>
          <w:szCs w:val="22"/>
        </w:rPr>
        <w:t xml:space="preserve">45</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AI Business</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AI事業適用ルール</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AIクリエイティブ事業では、速度を売りにしても品質と権利を犠牲にしない。生成物には必ず人の監修を介在させる。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生成ワークフローにヒューマン・イン・ザ・ループ（第38節）が組み込まれているか。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権利・学習データに起因するリスクを確認し、納品物の権利を明確化したか。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AI利用の範囲をクライアントに適切に開示したか。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生成物がPHOSARAのトーン（低彩度・余白・静寂）に整合しているか。</w:t>
      </w:r>
    </w:p>
    <w:p>
      <w:pPr>
        <w:keepNext/>
        <w:spacing w:after="0" w:before="360"/>
      </w:pPr>
      <w:r>
        <w:rPr>
          <w:rFonts w:ascii="Helvetica Neue" w:eastAsia="Yu Gothic" w:hAnsi="Helvetica Neue"/>
          <w:b/>
          <w:bCs/>
          <w:i w:val="false"/>
          <w:iCs w:val="false"/>
          <w:caps w:val="false"/>
          <w:color w:val="D91E18"/>
          <w:spacing w:val="40"/>
          <w:sz w:val="22"/>
          <w:szCs w:val="22"/>
        </w:rPr>
        <w:t xml:space="preserve">46</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Advertising</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広告クリエイティブ事業適用ルール</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広告では訴求力が求められるが、PHOSARAは「騒がしさ」で勝たない。静かな強さ・一点の灯で記憶に残す。</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1広告1メッセージ。複数の訴求を1クリエイティブに詰め込まない。</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誇大・断定的な優劣表現を用いず、景品表示・各種広告規制を遵守する。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赤は訴求の核として1点に集中させ、多色化を禁止する。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媒体（OOH・Web・動画）ごとに最小サイズ・視認性基準を満たす。</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表現が関連法規・媒体ガイドラインに適合しているか。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誇大・誤認を招く表現を含んでいないか。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PHOSARAの静寂・品位が保たれているか。</w:t>
      </w:r>
    </w:p>
    <w:p>
      <w:pPr>
        <w:keepNext/>
        <w:spacing w:after="0" w:before="360"/>
      </w:pPr>
      <w:r>
        <w:rPr>
          <w:rFonts w:ascii="Helvetica Neue" w:eastAsia="Yu Gothic" w:hAnsi="Helvetica Neue"/>
          <w:b/>
          <w:bCs/>
          <w:i w:val="false"/>
          <w:iCs w:val="false"/>
          <w:caps w:val="false"/>
          <w:color w:val="D91E18"/>
          <w:spacing w:val="40"/>
          <w:sz w:val="22"/>
          <w:szCs w:val="22"/>
        </w:rPr>
        <w:t xml:space="preserve">47</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Pachinko Promotion</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パチンコ販促デザイン事業適用ルール</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パチンコ販促は、訴求と品位・規制配慮の両立が最も難しい領域である。PHOSARAはこの領域でこそ「上質さ」で差別化する。賑やかさで埋もれる他と異なり、静かな信頼感を設計する。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基本姿勢</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射幸心を過度に煽る表現（過剰な金額・確率の誇示等）を避ける。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関連法規・業界自主規制・媒体規定を必ず遵守し、不確かな場合は制作を保留して確認する。</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下品・過剰装飾に流れず、PHOSARAの品位（余白・静寂・一点の灯）を保つ。</w:t>
      </w:r>
    </w:p>
    <w:p>
      <w:pPr>
        <w:pStyle w:val="ListParagraph"/>
        <w:numPr>
          <w:ilvl w:val="0"/>
          <w:numId w:val="2"/>
        </w:numPr>
        <w:spacing w:after="70" w:line="300" w:lineRule="auto"/>
      </w:pPr>
      <w:r>
        <w:rPr>
          <w:rFonts w:ascii="Helvetica Neue" w:eastAsia="Yu Gothic" w:hAnsi="Helvetica Neue"/>
          <w:b w:val="false"/>
          <w:bCs w:val="false"/>
          <w:i w:val="false"/>
          <w:iCs w:val="false"/>
          <w:caps w:val="false"/>
          <w:color w:val="111111"/>
          <w:sz w:val="20"/>
          <w:szCs w:val="20"/>
        </w:rPr>
        <w:t xml:space="preserve">視認性を最優先する（来店動機は一目で伝わる必要がある）。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媒体別の要点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6960"/>
      </w:tblGrid>
      <w:tr>
        <w:trPr>
          <w:tblHeader/>
        </w:trPr>
        <w:tc>
          <w:tcPr>
            <w:tcW w:type="dxa" w:w="2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媒体</w:t>
            </w:r>
          </w:p>
        </w:tc>
        <w:tc>
          <w:tcPr>
            <w:tcW w:type="dxa" w:w="69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設計の要点</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店舗看板・袖看板</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遠距離視認を最優先。墨地＋白抜き＋赤1点。夜間照明で潰れない設計</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のぼり・タペストリー</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1本1メッセージ。風での可読性を考慮し文字を大きく絞る</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フライヤー・DM</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情報を階層化し、日時・内容を即読できる構成。余白を確保</w:t>
            </w:r>
          </w:p>
        </w:tc>
      </w:tr>
      <w:tr>
        <w:tc>
          <w:tcPr>
            <w:tcW w:type="dxa" w:w="2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デジタルサイネージ</w:t>
            </w:r>
          </w:p>
        </w:tc>
        <w:tc>
          <w:tcPr>
            <w:tcW w:type="dxa" w:w="6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1画面1訴求。短い表示時間でも読める文字量・コントラスト</w:t>
            </w:r>
          </w:p>
        </w:tc>
      </w:tr>
      <w:tr>
        <w:tc>
          <w:tcPr>
            <w:tcW w:type="dxa" w:w="2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SNS・LINE</w:t>
            </w:r>
          </w:p>
        </w:tc>
        <w:tc>
          <w:tcPr>
            <w:tcW w:type="dxa" w:w="6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煽らず、静かな信頼感で来店を促す。規制表現を含めない</w:t>
            </w:r>
          </w:p>
        </w:tc>
      </w:tr>
    </w:tbl>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禁止事項</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確率・出玉・金額の誇大／断定的な表現。</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射幸心を著しく煽る演出・文言。</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法規・自主規制に抵触する表現、または抵触の疑いがある表現。</w:t>
      </w:r>
    </w:p>
    <w:p>
      <w:pPr>
        <w:pStyle w:val="ListParagraph"/>
        <w:numPr>
          <w:ilvl w:val="0"/>
          <w:numId w:val="5"/>
        </w:numPr>
        <w:spacing w:after="70" w:line="300" w:lineRule="auto"/>
      </w:pPr>
      <w:r>
        <w:rPr>
          <w:rFonts w:ascii="Helvetica Neue" w:eastAsia="Yu Gothic" w:hAnsi="Helvetica Neue"/>
          <w:b w:val="false"/>
          <w:bCs w:val="false"/>
          <w:i w:val="false"/>
          <w:iCs w:val="false"/>
          <w:caps w:val="false"/>
          <w:color w:val="111111"/>
          <w:sz w:val="20"/>
          <w:szCs w:val="20"/>
        </w:rPr>
        <w:t xml:space="preserve">PHOSARAの品位を損なう過剰装飾・多色・煽り調コピー。</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関連法規・業界自主規制・媒体規定への適合を確認したか。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射幸心を過度に煽る表現を排除したか。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遠距離・夜間での視認性を実環境で確認したか。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PHOSARAの品位（余白・静寂・一点の灯）を保てているか。</w:t>
      </w:r>
    </w:p>
    <w:p>
      <w:pPr>
        <w:pageBreakBefore/>
        <w:spacing w:after="0" w:before="2400"/>
      </w:pPr>
      <w:r>
        <w:rPr>
          <w:rFonts w:ascii="Helvetica Neue" w:eastAsia="Yu Gothic" w:hAnsi="Helvetica Neue"/>
          <w:b/>
          <w:bCs/>
          <w:i w:val="false"/>
          <w:iCs w:val="false"/>
          <w:caps/>
          <w:color w:val="D91E18"/>
          <w:spacing w:val="80"/>
          <w:sz w:val="28"/>
          <w:szCs w:val="28"/>
        </w:rPr>
        <w:t xml:space="preserve">PART VIII</w:t>
      </w:r>
    </w:p>
    <w:p>
      <w:pPr>
        <w:pBdr>
          <w:bottom w:val="single" w:color="111111" w:sz="14" w:space="12"/>
        </w:pBdr>
        <w:spacing w:after="0" w:before="60"/>
      </w:pPr>
      <w:r>
        <w:rPr>
          <w:rFonts w:ascii="Helvetica Neue" w:eastAsia="Yu Gothic" w:hAnsi="Helvetica Neue"/>
          <w:b w:val="false"/>
          <w:bCs w:val="false"/>
          <w:i w:val="false"/>
          <w:iCs w:val="false"/>
          <w:caps w:val="false"/>
          <w:color w:val="5E5E5E"/>
          <w:spacing w:val="40"/>
          <w:sz w:val="26"/>
          <w:szCs w:val="26"/>
        </w:rPr>
        <w:t xml:space="preserve">Operations &amp; Audit</w:t>
      </w:r>
    </w:p>
    <w:p>
      <w:pPr>
        <w:pStyle w:val="Heading1"/>
        <w:spacing w:after="120" w:before="220"/>
      </w:pPr>
      <w:r>
        <w:rPr>
          <w:rFonts w:ascii="Helvetica Neue" w:eastAsia="Yu Gothic" w:hAnsi="Helvetica Neue"/>
          <w:b/>
          <w:bCs/>
          <w:i w:val="false"/>
          <w:iCs w:val="false"/>
          <w:caps w:val="false"/>
          <w:color w:val="111111"/>
          <w:sz w:val="48"/>
          <w:szCs w:val="48"/>
        </w:rPr>
        <w:t xml:space="preserve">運用・監査</w:t>
      </w:r>
    </w:p>
    <w:p>
      <w:pPr>
        <w:spacing w:after="200" w:before="60"/>
      </w:pPr>
      <w:r>
        <w:rPr>
          <w:rFonts w:ascii="Helvetica Neue" w:eastAsia="Yu Gothic" w:hAnsi="Helvetica Neue"/>
          <w:b w:val="false"/>
          <w:bCs w:val="false"/>
          <w:i w:val="false"/>
          <w:iCs w:val="false"/>
          <w:caps w:val="false"/>
          <w:color w:val="5E5E5E"/>
          <w:sz w:val="21"/>
          <w:szCs w:val="21"/>
        </w:rPr>
        <w:t xml:space="preserve">ブランドは作って終わりではない。守り、点検し、保ち続けるための最終章。</w:t>
      </w:r>
    </w:p>
    <w:p>
      <w:pPr>
        <w:keepNext/>
        <w:spacing w:after="0" w:before="360"/>
      </w:pPr>
      <w:r>
        <w:rPr>
          <w:rFonts w:ascii="Helvetica Neue" w:eastAsia="Yu Gothic" w:hAnsi="Helvetica Neue"/>
          <w:b/>
          <w:bCs/>
          <w:i w:val="false"/>
          <w:iCs w:val="false"/>
          <w:caps w:val="false"/>
          <w:color w:val="D91E18"/>
          <w:spacing w:val="40"/>
          <w:sz w:val="22"/>
          <w:szCs w:val="22"/>
        </w:rPr>
        <w:t xml:space="preserve">48</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Operating Checklist</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ブランド運用チェックリスト</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すべての制作物は、書き出し・公開・納品の前に下記を確認する。1つでも未達があれば公開してはならない。</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共通（全制作物）</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ロゴは正規ベクターデータを使用し、改変していないか。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最小サイズ・クリアスペースを満たしているか。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色は規定値（HEX／CMYK／Pantone）に準拠しているか。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赤は画面・紙面に1点（上限7%）に収まっているか。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和文＝游ゴシック系／欧文＝Neue Haas系で組まれているか。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余白は十分か（詰め込んでいないか）。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コントラスト・文字サイズが可読基準を満たすか。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品質スコア（第39節）8点以上か。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表記・文体がライティングルール（第35節）に準拠しているか。</w:t>
      </w:r>
    </w:p>
    <w:p>
      <w:pPr>
        <w:keepNext/>
        <w:spacing w:after="80" w:before="200"/>
      </w:pPr>
      <w:r>
        <w:rPr>
          <w:rFonts w:ascii="Helvetica Neue" w:eastAsia="Yu Gothic" w:hAnsi="Helvetica Neue"/>
          <w:b/>
          <w:bCs/>
          <w:i w:val="false"/>
          <w:iCs w:val="false"/>
          <w:caps w:val="false"/>
          <w:color w:val="D91E18"/>
          <w:sz w:val="21"/>
          <w:szCs w:val="21"/>
        </w:rPr>
        <w:t xml:space="preserve">— </w:t>
      </w:r>
      <w:r>
        <w:rPr>
          <w:rFonts w:ascii="Helvetica Neue" w:eastAsia="Yu Gothic" w:hAnsi="Helvetica Neue"/>
          <w:b/>
          <w:bCs/>
          <w:i w:val="false"/>
          <w:iCs w:val="false"/>
          <w:caps w:val="false"/>
          <w:color w:val="111111"/>
          <w:sz w:val="21"/>
          <w:szCs w:val="21"/>
        </w:rPr>
        <w:t xml:space="preserve">媒体別の追加確認</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Web: alt・コントラスト比・reduced-motion 対応を満たすか。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印刷: 色校正を行い、実寸で最小サイズを確認したか。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SNS: テンプレートに準拠し、グリッド全体の世界観を保てているか。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広告・販促: 関連法規・規制への適合を確認したか。</w:t>
      </w:r>
    </w:p>
    <w:p>
      <w:pPr>
        <w:keepNext/>
        <w:spacing w:after="0" w:before="360"/>
      </w:pPr>
      <w:r>
        <w:rPr>
          <w:rFonts w:ascii="Helvetica Neue" w:eastAsia="Yu Gothic" w:hAnsi="Helvetica Neue"/>
          <w:b/>
          <w:bCs/>
          <w:i w:val="false"/>
          <w:iCs w:val="false"/>
          <w:caps w:val="false"/>
          <w:color w:val="D91E18"/>
          <w:spacing w:val="40"/>
          <w:sz w:val="22"/>
          <w:szCs w:val="22"/>
        </w:rPr>
        <w:t xml:space="preserve">49</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Brand Audit</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ブランド監査チェックリスト</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val="false"/>
          <w:bCs w:val="false"/>
          <w:i w:val="false"/>
          <w:iCs w:val="false"/>
          <w:caps w:val="false"/>
          <w:color w:val="111111"/>
          <w:sz w:val="20"/>
          <w:szCs w:val="20"/>
        </w:rPr>
        <w:t xml:space="preserve">ブランド管理責任者は、定期的にブランドの健全性を監査する。逸脱を早期に発見し、是正する。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5960"/>
        <w:gridCol w:w="2000"/>
      </w:tblGrid>
      <w:tr>
        <w:trPr>
          <w:tblHeader/>
        </w:trPr>
        <w:tc>
          <w:tcPr>
            <w:tcW w:type="dxa" w:w="1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頻度</w:t>
            </w:r>
          </w:p>
        </w:tc>
        <w:tc>
          <w:tcPr>
            <w:tcW w:type="dxa" w:w="59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監査項目</w:t>
            </w:r>
          </w:p>
        </w:tc>
        <w:tc>
          <w:tcPr>
            <w:tcW w:type="dxa" w:w="20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判定</w:t>
            </w:r>
          </w:p>
        </w:tc>
      </w:tr>
      <w:tr>
        <w:tc>
          <w:tcPr>
            <w:tcW w:type="dxa" w:w="1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四半期</w:t>
            </w:r>
          </w:p>
        </w:tc>
        <w:tc>
          <w:tcPr>
            <w:tcW w:type="dxa" w:w="5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主要接点（Web・SNS・名刺・提案書）の規定準拠率</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準拠 / 要是正</w:t>
            </w:r>
          </w:p>
        </w:tc>
      </w:tr>
      <w:tr>
        <w:tc>
          <w:tcPr>
            <w:tcW w:type="dxa" w:w="1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四半期</w:t>
            </w:r>
          </w:p>
        </w:tc>
        <w:tc>
          <w:tcPr>
            <w:tcW w:type="dxa" w:w="5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本書最新版の運用徹底（旧版の混在がないか）</w:t>
            </w:r>
          </w:p>
        </w:tc>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問題なし / 要周知</w:t>
            </w:r>
          </w:p>
        </w:tc>
      </w:tr>
      <w:tr>
        <w:tc>
          <w:tcPr>
            <w:tcW w:type="dxa" w:w="1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四半期</w:t>
            </w:r>
          </w:p>
        </w:tc>
        <w:tc>
          <w:tcPr>
            <w:tcW w:type="dxa" w:w="5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赤の使用量が上限内に収まっているか</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適正 / 過多</w:t>
            </w:r>
          </w:p>
        </w:tc>
      </w:tr>
      <w:tr>
        <w:tc>
          <w:tcPr>
            <w:tcW w:type="dxa" w:w="1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半期</w:t>
            </w:r>
          </w:p>
        </w:tc>
        <w:tc>
          <w:tcPr>
            <w:tcW w:type="dxa" w:w="5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各事業（デザイン／AI／広告／販促）の整合性</w:t>
            </w:r>
          </w:p>
        </w:tc>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整合 / 乖離あり</w:t>
            </w:r>
          </w:p>
        </w:tc>
      </w:tr>
      <w:tr>
        <w:tc>
          <w:tcPr>
            <w:tcW w:type="dxa" w:w="1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年次</w:t>
            </w:r>
          </w:p>
        </w:tc>
        <w:tc>
          <w:tcPr>
            <w:tcW w:type="dxa" w:w="5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ロゴ・色・書体の市場での再現品質</w:t>
            </w:r>
          </w:p>
        </w:tc>
        <w:tc>
          <w:tcPr>
            <w:tcW w:type="dxa" w:w="20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良好 / 要改善</w:t>
            </w:r>
          </w:p>
        </w:tc>
      </w:tr>
      <w:tr>
        <w:tc>
          <w:tcPr>
            <w:tcW w:type="dxa" w:w="1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年次</w:t>
            </w:r>
          </w:p>
        </w:tc>
        <w:tc>
          <w:tcPr>
            <w:tcW w:type="dxa" w:w="5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ブランド本書そのものの改訂要否</w:t>
            </w:r>
          </w:p>
        </w:tc>
        <w:tc>
          <w:tcPr>
            <w:tcW w:type="dxa" w:w="20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現状維持 / 改訂</w:t>
            </w:r>
          </w:p>
        </w:tc>
      </w:tr>
    </w:tbl>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監査結果を記録し、是正措置と期限を明確化したか。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重大な逸脱は、再発防止策とともに関係者へ周知したか。</w:t>
      </w:r>
    </w:p>
    <w:p>
      <w:pPr>
        <w:pStyle w:val="ListParagraph"/>
        <w:numPr>
          <w:ilvl w:val="0"/>
          <w:numId w:val="4"/>
        </w:numPr>
        <w:spacing w:after="76" w:line="300" w:lineRule="auto"/>
      </w:pPr>
      <w:r>
        <w:rPr>
          <w:rFonts w:ascii="Helvetica Neue" w:eastAsia="Yu Gothic" w:hAnsi="Helvetica Neue"/>
          <w:b w:val="false"/>
          <w:bCs w:val="false"/>
          <w:i w:val="false"/>
          <w:iCs w:val="false"/>
          <w:caps w:val="false"/>
          <w:color w:val="111111"/>
          <w:sz w:val="20"/>
          <w:szCs w:val="20"/>
        </w:rPr>
        <w:t xml:space="preserve">本書の改訂が必要な場合、バージョンを更新し旧版を回収したか。</w:t>
      </w:r>
    </w:p>
    <w:p>
      <w:pPr>
        <w:keepNext/>
        <w:spacing w:after="0" w:before="360"/>
      </w:pPr>
      <w:r>
        <w:rPr>
          <w:rFonts w:ascii="Helvetica Neue" w:eastAsia="Yu Gothic" w:hAnsi="Helvetica Neue"/>
          <w:b/>
          <w:bCs/>
          <w:i w:val="false"/>
          <w:iCs w:val="false"/>
          <w:caps w:val="false"/>
          <w:color w:val="D91E18"/>
          <w:spacing w:val="40"/>
          <w:sz w:val="22"/>
          <w:szCs w:val="22"/>
        </w:rPr>
        <w:t xml:space="preserve">50</w:t>
      </w:r>
      <w:r>
        <w:rPr>
          <w:rFonts w:ascii="Helvetica Neue" w:eastAsia="Yu Gothic" w:hAnsi="Helvetica Neue"/>
          <w:b w:val="false"/>
          <w:bCs w:val="false"/>
          <w:i w:val="false"/>
          <w:iCs w:val="false"/>
          <w:caps w:val="false"/>
          <w:color w:val="111111"/>
          <w:sz w:val="22"/>
          <w:szCs w:val="22"/>
        </w:rPr>
        <w:t xml:space="preserve">   </w:t>
      </w:r>
      <w:r>
        <w:rPr>
          <w:rFonts w:ascii="Helvetica Neue" w:eastAsia="Yu Gothic" w:hAnsi="Helvetica Neue"/>
          <w:b w:val="false"/>
          <w:bCs w:val="false"/>
          <w:i w:val="false"/>
          <w:iCs w:val="false"/>
          <w:caps/>
          <w:color w:val="9A958C"/>
          <w:spacing w:val="60"/>
          <w:sz w:val="18"/>
          <w:szCs w:val="18"/>
        </w:rPr>
        <w:t xml:space="preserve">Brand Manifesto</w:t>
      </w:r>
    </w:p>
    <w:p>
      <w:pPr>
        <w:pStyle w:val="Heading2"/>
        <w:keepNext/>
        <w:pBdr>
          <w:bottom w:val="single" w:color="D91E18" w:sz="8" w:space="6"/>
        </w:pBdr>
        <w:spacing w:after="60" w:before="20"/>
      </w:pPr>
      <w:r>
        <w:rPr>
          <w:rFonts w:ascii="Helvetica Neue" w:eastAsia="Yu Gothic" w:hAnsi="Helvetica Neue"/>
          <w:b/>
          <w:bCs/>
          <w:i w:val="false"/>
          <w:iCs w:val="false"/>
          <w:caps w:val="false"/>
          <w:color w:val="111111"/>
          <w:sz w:val="30"/>
          <w:szCs w:val="30"/>
        </w:rPr>
        <w:t xml:space="preserve">PHOSARAブランドマニフェスト</w:t>
      </w:r>
    </w:p>
    <w:p>
      <w:pPr>
        <w:spacing w:after="80" w:before="0"/>
      </w:pPr>
      <w:r>
        <w:rPr>
          <w:rFonts w:ascii="Helvetica Neue" w:eastAsia="Yu Gothic" w:hAnsi="Helvetica Neue"/>
          <w:b w:val="false"/>
          <w:bCs w:val="false"/>
          <w:i w:val="false"/>
          <w:iCs w:val="false"/>
          <w:caps w:val="false"/>
          <w:color w:val="111111"/>
          <w:sz w:val="2"/>
          <w:szCs w:val="2"/>
        </w:rPr>
        <w:t xml:space="preserve"/>
      </w:r>
    </w:p>
    <w:p>
      <w:pPr>
        <w:spacing w:after="240" w:before="200"/>
        <w:jc w:val="center"/>
      </w:pPr>
      <w:r>
        <w:rPr>
          <w:rFonts w:ascii="Helvetica Neue" w:eastAsia="Yu Gothic" w:hAnsi="Helvetica Neue"/>
          <w:b/>
          <w:bCs/>
          <w:i w:val="false"/>
          <w:iCs w:val="false"/>
          <w:caps/>
          <w:color w:val="D91E18"/>
          <w:spacing w:val="120"/>
          <w:sz w:val="20"/>
          <w:szCs w:val="20"/>
        </w:rPr>
        <w:t xml:space="preserve">PHOSARA MANIFESTO</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世界には、まだ光の当たっていない価値がある。</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語られない強み。形を持たない想い。見過ごされた可能性。</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私たちは、それらに輪郭を与えるために存在する。</w:t>
      </w:r>
    </w:p>
    <w:p>
      <w:pPr>
        <w:spacing w:after="120" w:before="0"/>
      </w:pPr>
      <w:r>
        <w:rPr>
          <w:rFonts w:ascii="Helvetica Neue" w:eastAsia="Yu Gothic" w:hAnsi="Helvetica Neue"/>
          <w:b w:val="false"/>
          <w:bCs w:val="false"/>
          <w:i w:val="false"/>
          <w:iCs w:val="false"/>
          <w:caps w:val="false"/>
          <w:color w:val="111111"/>
          <w:sz w:val="2"/>
          <w:szCs w:val="2"/>
        </w:rPr>
        <w:t xml:space="preserve"/>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PHOSARA ——「光が形になる場所」。</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二本の柱と一本の梁が、境界の門を成す。</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その中心に灯る赤は、くぐり抜ける一点の光。</w:t>
      </w:r>
    </w:p>
    <w:p>
      <w:pPr>
        <w:spacing w:after="120" w:before="0"/>
      </w:pPr>
      <w:r>
        <w:rPr>
          <w:rFonts w:ascii="Helvetica Neue" w:eastAsia="Yu Gothic" w:hAnsi="Helvetica Neue"/>
          <w:b w:val="false"/>
          <w:bCs w:val="false"/>
          <w:i w:val="false"/>
          <w:iCs w:val="false"/>
          <w:caps w:val="false"/>
          <w:color w:val="111111"/>
          <w:sz w:val="2"/>
          <w:szCs w:val="2"/>
        </w:rPr>
        <w:t xml:space="preserve"/>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私たちは足さない。削る。</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騒がない。照らす。</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飾らない。本質を露わにする。</w:t>
      </w:r>
    </w:p>
    <w:p>
      <w:pPr>
        <w:spacing w:after="120" w:before="0"/>
      </w:pPr>
      <w:r>
        <w:rPr>
          <w:rFonts w:ascii="Helvetica Neue" w:eastAsia="Yu Gothic" w:hAnsi="Helvetica Neue"/>
          <w:b w:val="false"/>
          <w:bCs w:val="false"/>
          <w:i w:val="false"/>
          <w:iCs w:val="false"/>
          <w:caps w:val="false"/>
          <w:color w:val="111111"/>
          <w:sz w:val="2"/>
          <w:szCs w:val="2"/>
        </w:rPr>
        <w:t xml:space="preserve"/>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余白は、空白ではない。静寂という強さである。</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一点の灯は、多くの色に勝る。</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削ぎ落とした先にこそ、伝わるものが残る。</w:t>
      </w:r>
    </w:p>
    <w:p>
      <w:pPr>
        <w:spacing w:after="120" w:before="0"/>
      </w:pPr>
      <w:r>
        <w:rPr>
          <w:rFonts w:ascii="Helvetica Neue" w:eastAsia="Yu Gothic" w:hAnsi="Helvetica Neue"/>
          <w:b w:val="false"/>
          <w:bCs w:val="false"/>
          <w:i w:val="false"/>
          <w:iCs w:val="false"/>
          <w:caps w:val="false"/>
          <w:color w:val="111111"/>
          <w:sz w:val="2"/>
          <w:szCs w:val="2"/>
        </w:rPr>
        <w:t xml:space="preserve"/>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デザインも、AIも、広告も、販促も、</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私たちにとってはひとつの行為に過ぎない。</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——見えない価値を、見える光に変えること。</w:t>
      </w:r>
    </w:p>
    <w:p>
      <w:pPr>
        <w:spacing w:after="120" w:before="0"/>
      </w:pPr>
      <w:r>
        <w:rPr>
          <w:rFonts w:ascii="Helvetica Neue" w:eastAsia="Yu Gothic" w:hAnsi="Helvetica Neue"/>
          <w:b w:val="false"/>
          <w:bCs w:val="false"/>
          <w:i w:val="false"/>
          <w:iCs w:val="false"/>
          <w:caps w:val="false"/>
          <w:color w:val="111111"/>
          <w:sz w:val="2"/>
          <w:szCs w:val="2"/>
        </w:rPr>
        <w:t xml:space="preserve"/>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境界の、その先へ。</w:t>
      </w:r>
    </w:p>
    <w:p>
      <w:pPr>
        <w:spacing w:after="60" w:line="360" w:lineRule="auto"/>
        <w:jc w:val="center"/>
      </w:pPr>
      <w:r>
        <w:rPr>
          <w:rFonts w:ascii="Helvetica Neue" w:eastAsia="Yu Mincho" w:hAnsi="Helvetica Neue"/>
          <w:b w:val="false"/>
          <w:bCs w:val="false"/>
          <w:i w:val="false"/>
          <w:iCs w:val="false"/>
          <w:caps w:val="false"/>
          <w:color w:val="111111"/>
          <w:sz w:val="24"/>
          <w:szCs w:val="24"/>
        </w:rPr>
        <w:t xml:space="preserve">光を、境界の先へ。</w:t>
      </w:r>
    </w:p>
    <w:p>
      <w:pPr>
        <w:spacing w:after="160" w:before="0"/>
      </w:pPr>
      <w:r>
        <w:rPr>
          <w:rFonts w:ascii="Helvetica Neue" w:eastAsia="Yu Gothic" w:hAnsi="Helvetica Neue"/>
          <w:b w:val="false"/>
          <w:bCs w:val="false"/>
          <w:i w:val="false"/>
          <w:iCs w:val="false"/>
          <w:caps w:val="false"/>
          <w:color w:val="111111"/>
          <w:sz w:val="2"/>
          <w:szCs w:val="2"/>
        </w:rPr>
        <w:t xml:space="preserve"/>
      </w:r>
    </w:p>
    <w:p>
      <w:pPr>
        <w:pBdr>
          <w:top w:val="single" w:color="D91E18" w:sz="8" w:space="10"/>
        </w:pBdr>
        <w:spacing w:before="120"/>
        <w:jc w:val="center"/>
      </w:pPr>
      <w:r>
        <w:rPr>
          <w:rFonts w:ascii="Helvetica Neue" w:eastAsia="Yu Gothic" w:hAnsi="Helvetica Neue"/>
          <w:b w:val="false"/>
          <w:bCs w:val="false"/>
          <w:i/>
          <w:iCs/>
          <w:caps w:val="false"/>
          <w:color w:val="D91E18"/>
          <w:sz w:val="22"/>
          <w:szCs w:val="22"/>
        </w:rPr>
        <w:t xml:space="preserve">Beyond the Boundary.</w:t>
      </w:r>
    </w:p>
    <w:p>
      <w:pPr>
        <w:pageBreakBefore/>
        <w:spacing w:after="120" w:before="120"/>
      </w:pPr>
      <w:r>
        <w:rPr>
          <w:rFonts w:ascii="Helvetica Neue" w:eastAsia="Yu Gothic" w:hAnsi="Helvetica Neue"/>
          <w:b/>
          <w:bCs/>
          <w:i w:val="false"/>
          <w:iCs w:val="false"/>
          <w:caps w:val="false"/>
          <w:color w:val="111111"/>
          <w:sz w:val="30"/>
          <w:szCs w:val="30"/>
        </w:rPr>
        <w:t xml:space="preserve">改訂履歴・管理</w:t>
      </w:r>
      <w:r>
        <w:rPr>
          <w:rFonts w:ascii="Helvetica Neue" w:eastAsia="Yu Gothic" w:hAnsi="Helvetica Neue"/>
          <w:b w:val="false"/>
          <w:bCs w:val="false"/>
          <w:i w:val="false"/>
          <w:iCs w:val="false"/>
          <w:caps w:val="false"/>
          <w:color w:val="9A958C"/>
          <w:spacing w:val="60"/>
          <w:sz w:val="18"/>
          <w:szCs w:val="18"/>
        </w:rPr>
        <w:t xml:space="preserve">   COLOPHON</w:t>
      </w:r>
    </w:p>
    <w:p>
      <w:pPr>
        <w:pBdr>
          <w:bottom w:val="single" w:color="D91E18" w:sz="8" w:space="6"/>
        </w:pBdr>
        <w:spacing w:after="120"/>
      </w:pPr>
      <w:r>
        <w:rPr>
          <w:rFonts w:ascii="Helvetica Neue" w:eastAsia="Yu Gothic" w:hAnsi="Helvetica Neue"/>
          <w:b w:val="false"/>
          <w:bCs w:val="false"/>
          <w:i w:val="false"/>
          <w:iCs w:val="false"/>
          <w:caps w:val="false"/>
          <w:color w:val="111111"/>
          <w:sz w:val="2"/>
          <w:szCs w:val="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0"/>
        <w:gridCol w:w="1400"/>
        <w:gridCol w:w="4960"/>
        <w:gridCol w:w="1800"/>
      </w:tblGrid>
      <w:tr>
        <w:trPr>
          <w:tblHeader/>
        </w:trPr>
        <w:tc>
          <w:tcPr>
            <w:tcW w:type="dxa" w:w="12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版</w:t>
            </w:r>
          </w:p>
        </w:tc>
        <w:tc>
          <w:tcPr>
            <w:tcW w:type="dxa" w:w="14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日付</w:t>
            </w:r>
          </w:p>
        </w:tc>
        <w:tc>
          <w:tcPr>
            <w:tcW w:type="dxa" w:w="496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主な改訂内容</w:t>
            </w:r>
          </w:p>
        </w:tc>
        <w:tc>
          <w:tcPr>
            <w:tcW w:type="dxa" w:w="1800"/>
            <w:tcBorders>
              <w:top w:val="single" w:color="DAD7D0" w:sz="2"/>
              <w:left w:val="single" w:color="DAD7D0" w:sz="2"/>
              <w:bottom w:val="single" w:color="DAD7D0" w:sz="2"/>
              <w:right w:val="single" w:color="DAD7D0" w:sz="2"/>
            </w:tcBorders>
            <w:shd w:fill="111111"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bCs/>
                <w:i w:val="false"/>
                <w:iCs w:val="false"/>
                <w:caps w:val="false"/>
                <w:color w:val="FFFFFF"/>
                <w:sz w:val="19"/>
                <w:szCs w:val="19"/>
              </w:rPr>
              <w:t xml:space="preserve">承認</w:t>
            </w:r>
          </w:p>
        </w:tc>
      </w:tr>
      <w:tr>
        <w:tc>
          <w:tcPr>
            <w:tcW w:type="dxa" w:w="12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v1.0</w:t>
            </w:r>
          </w:p>
        </w:tc>
        <w:tc>
          <w:tcPr>
            <w:tcW w:type="dxa" w:w="14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2025</w:t>
            </w:r>
          </w:p>
        </w:tc>
        <w:tc>
          <w:tcPr>
            <w:tcW w:type="dxa" w:w="496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初版発行（ブランド体系・ロゴ基本仕様の制定）</w:t>
            </w:r>
          </w:p>
        </w:tc>
        <w:tc>
          <w:tcPr>
            <w:tcW w:type="dxa" w:w="1800"/>
            <w:tcBorders>
              <w:top w:val="single" w:color="DAD7D0" w:sz="2"/>
              <w:left w:val="single" w:color="DAD7D0" w:sz="2"/>
              <w:bottom w:val="single" w:color="DAD7D0" w:sz="2"/>
              <w:right w:val="single" w:color="DAD7D0" w:sz="2"/>
            </w:tcBorders>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ブランド管理責任者</w:t>
            </w:r>
          </w:p>
        </w:tc>
      </w:tr>
      <w:tr>
        <w:tc>
          <w:tcPr>
            <w:tcW w:type="dxa" w:w="12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v1.1</w:t>
            </w:r>
          </w:p>
        </w:tc>
        <w:tc>
          <w:tcPr>
            <w:tcW w:type="dxa" w:w="14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2026</w:t>
            </w:r>
          </w:p>
        </w:tc>
        <w:tc>
          <w:tcPr>
            <w:tcW w:type="dxa" w:w="496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ロゴ光学調整を反映（横棒・ノッチ・縦線・赤点の微調整）</w:t>
            </w:r>
          </w:p>
        </w:tc>
        <w:tc>
          <w:tcPr>
            <w:tcW w:type="dxa" w:w="1800"/>
            <w:tcBorders>
              <w:top w:val="single" w:color="DAD7D0" w:sz="2"/>
              <w:left w:val="single" w:color="DAD7D0" w:sz="2"/>
              <w:bottom w:val="single" w:color="DAD7D0" w:sz="2"/>
              <w:right w:val="single" w:color="DAD7D0" w:sz="2"/>
            </w:tcBorders>
            <w:shd w:fill="EFEDE9" w:color="auto" w:val="clear"/>
            <w:tcMar>
              <w:top w:type="dxa" w:w="60"/>
              <w:left w:type="dxa" w:w="110"/>
              <w:bottom w:type="dxa" w:w="60"/>
              <w:right w:type="dxa" w:w="110"/>
            </w:tcMar>
            <w:vAlign w:val="center"/>
          </w:tcPr>
          <w:p>
            <w:pPr>
              <w:spacing w:after="10" w:before="10" w:line="264" w:lineRule="auto"/>
              <w:jc w:val="left"/>
            </w:pPr>
            <w:r>
              <w:rPr>
                <w:rFonts w:ascii="Helvetica Neue" w:eastAsia="Yu Gothic" w:hAnsi="Helvetica Neue"/>
                <w:b w:val="false"/>
                <w:bCs w:val="false"/>
                <w:i w:val="false"/>
                <w:iCs w:val="false"/>
                <w:caps w:val="false"/>
                <w:color w:val="111111"/>
                <w:sz w:val="18"/>
                <w:szCs w:val="18"/>
              </w:rPr>
              <w:t xml:space="preserve">ブランド管理責任者</w:t>
            </w:r>
          </w:p>
        </w:tc>
      </w:tr>
    </w:tbl>
    <w:p>
      <w:pPr>
        <w:spacing w:after="120" w:before="0"/>
      </w:pPr>
      <w:r>
        <w:rPr>
          <w:rFonts w:ascii="Helvetica Neue" w:eastAsia="Yu Gothic" w:hAnsi="Helvetica Neue"/>
          <w:b w:val="false"/>
          <w:bCs w:val="false"/>
          <w:i w:val="false"/>
          <w:iCs w:val="false"/>
          <w:caps w:val="false"/>
          <w:color w:val="111111"/>
          <w:sz w:val="2"/>
          <w:szCs w:val="2"/>
        </w:rPr>
        <w:t xml:space="preserve"/>
      </w:r>
    </w:p>
    <w:p>
      <w:pPr>
        <w:spacing w:after="120" w:before="0" w:line="312" w:lineRule="auto"/>
        <w:jc w:val="both"/>
      </w:pPr>
      <w:r>
        <w:rPr>
          <w:rFonts w:ascii="Helvetica Neue" w:eastAsia="Yu Gothic" w:hAnsi="Helvetica Neue"/>
          <w:b/>
          <w:bCs/>
          <w:i w:val="false"/>
          <w:iCs w:val="false"/>
          <w:caps w:val="false"/>
          <w:color w:val="111111"/>
          <w:sz w:val="20"/>
          <w:szCs w:val="20"/>
        </w:rPr>
        <w:t xml:space="preserve">管理責任: </w:t>
      </w:r>
      <w:r>
        <w:rPr>
          <w:rFonts w:ascii="Helvetica Neue" w:eastAsia="Yu Gothic" w:hAnsi="Helvetica Neue"/>
          <w:b w:val="false"/>
          <w:bCs w:val="false"/>
          <w:i w:val="false"/>
          <w:iCs w:val="false"/>
          <w:caps w:val="false"/>
          <w:color w:val="111111"/>
          <w:sz w:val="20"/>
          <w:szCs w:val="20"/>
        </w:rPr>
        <w:t xml:space="preserve">本書はブランド管理責任者（Brand Custodian）が一元管理する。複製・配布・改訂は管理規程に従う。</w:t>
      </w:r>
    </w:p>
    <w:p>
      <w:pPr>
        <w:spacing w:after="120" w:before="0" w:line="312" w:lineRule="auto"/>
        <w:jc w:val="both"/>
      </w:pPr>
      <w:r>
        <w:rPr>
          <w:rFonts w:ascii="Helvetica Neue" w:eastAsia="Yu Gothic" w:hAnsi="Helvetica Neue"/>
          <w:b/>
          <w:bCs/>
          <w:i w:val="false"/>
          <w:iCs w:val="false"/>
          <w:caps w:val="false"/>
          <w:color w:val="111111"/>
          <w:sz w:val="20"/>
          <w:szCs w:val="20"/>
        </w:rPr>
        <w:t xml:space="preserve">本書の位置づけ: </w:t>
      </w:r>
      <w:r>
        <w:rPr>
          <w:rFonts w:ascii="Helvetica Neue" w:eastAsia="Yu Gothic" w:hAnsi="Helvetica Neue"/>
          <w:b w:val="false"/>
          <w:bCs w:val="false"/>
          <w:i w:val="false"/>
          <w:iCs w:val="false"/>
          <w:caps w:val="false"/>
          <w:color w:val="111111"/>
          <w:sz w:val="20"/>
          <w:szCs w:val="20"/>
        </w:rPr>
        <w:t xml:space="preserve">本書はPHOSARAに関わるすべての判断の最終基準である。記載のない事項は管理責任者の判断に従い、必要に応じて次版へ反映する。</w:t>
      </w:r>
    </w:p>
    <w:p>
      <w:pPr>
        <w:spacing w:after="200" w:before="0"/>
      </w:pPr>
      <w:r>
        <w:rPr>
          <w:rFonts w:ascii="Helvetica Neue" w:eastAsia="Yu Gothic" w:hAnsi="Helvetica Neue"/>
          <w:b w:val="false"/>
          <w:bCs w:val="false"/>
          <w:i w:val="false"/>
          <w:iCs w:val="false"/>
          <w:caps w:val="false"/>
          <w:color w:val="111111"/>
          <w:sz w:val="2"/>
          <w:szCs w:val="2"/>
        </w:rPr>
        <w:t xml:space="preserve"/>
      </w:r>
    </w:p>
    <w:p>
      <w:pPr>
        <w:jc w:val="center"/>
      </w:pPr>
      <w:r>
        <w:rPr>
          <w:rFonts w:ascii="Helvetica Neue" w:eastAsia="Yu Gothic" w:hAnsi="Helvetica Neue"/>
          <w:b/>
          <w:bCs/>
          <w:i w:val="false"/>
          <w:iCs w:val="false"/>
          <w:caps w:val="false"/>
          <w:color w:val="111111"/>
          <w:spacing w:val="120"/>
          <w:sz w:val="28"/>
          <w:szCs w:val="28"/>
        </w:rPr>
        <w:t xml:space="preserve">PHOSARA</w:t>
      </w:r>
    </w:p>
    <w:p>
      <w:pPr>
        <w:spacing w:before="20"/>
        <w:jc w:val="center"/>
      </w:pPr>
      <w:r>
        <w:rPr>
          <w:rFonts w:ascii="Helvetica Neue" w:eastAsia="Yu Gothic" w:hAnsi="Helvetica Neue"/>
          <w:b w:val="false"/>
          <w:bCs w:val="false"/>
          <w:i w:val="false"/>
          <w:iCs w:val="false"/>
          <w:caps w:val="false"/>
          <w:color w:val="5E5E5E"/>
          <w:spacing w:val="40"/>
          <w:sz w:val="18"/>
          <w:szCs w:val="18"/>
        </w:rPr>
        <w:t xml:space="preserve">光を、境界の先へ。</w:t>
      </w:r>
    </w:p>
    <w:sectPr>
      <w:headerReference w:type="default" r:id="rId7"/>
      <w:footerReference w:type="default" r:id="rId8"/>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AD7D0" w:sz="4" w:space="6"/>
      </w:pBdr>
      <w:tabs>
        <w:tab w:val="right" w:pos="9360"/>
      </w:tabs>
      <w:spacing w:before="60"/>
    </w:pPr>
    <w:r>
      <w:rPr>
        <w:rFonts w:ascii="Helvetica Neue" w:eastAsia="Yu Gothic" w:hAnsi="Helvetica Neue"/>
        <w:b w:val="false"/>
        <w:bCs w:val="false"/>
        <w:i w:val="false"/>
        <w:iCs w:val="false"/>
        <w:caps w:val="false"/>
        <w:color w:val="9A958C"/>
        <w:spacing w:val="20"/>
        <w:sz w:val="15"/>
        <w:szCs w:val="15"/>
      </w:rPr>
      <w:t xml:space="preserve">PHOSARA — BRAND BOOK v1.1</w:t>
    </w:r>
    <w:r>
      <w:rPr>
        <w:rFonts w:ascii="Helvetica Neue" w:eastAsia="Yu Gothic" w:hAnsi="Helvetica Neue"/>
      </w:rPr>
      <w:t xml:space="preserve">	</w:t>
    </w:r>
    <w:r>
      <w:rPr>
        <w:rFonts w:ascii="Helvetica Neue" w:eastAsia="Yu Gothic" w:hAnsi="Helvetica Neue"/>
        <w:b w:val="false"/>
        <w:bCs w:val="false"/>
        <w:i w:val="false"/>
        <w:iCs w:val="false"/>
        <w:caps w:val="false"/>
        <w:color w:val="5E5E5E"/>
        <w:sz w:val="15"/>
        <w:szCs w:val="15"/>
      </w:rPr>
      <w:t xml:space="preserve"/>
    </w:r>
    <w:r>
      <w:rPr>
        <w:rFonts w:ascii="Helvetica Neue" w:hAnsi="Helvetica Neue"/>
        <w:color w:val="5E5E5E"/>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Helvetica Neue" w:eastAsia="Yu Gothic" w:hAnsi="Helvetica Neue"/>
        <w:b w:val="false"/>
        <w:bCs w:val="false"/>
        <w:i w:val="false"/>
        <w:iCs w:val="false"/>
        <w:caps w:val="false"/>
        <w:color w:val="9A958C"/>
        <w:spacing w:val="30"/>
        <w:sz w:val="14"/>
        <w:szCs w:val="14"/>
      </w:rPr>
      <w:t xml:space="preserve">光を、境界の先へ。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D91E18"/>
      </w:rPr>
    </w:lvl>
  </w:abstractNum>
  <w:abstractNum w:abstractNumId="3" w15:restartNumberingAfterBreak="0">
    <w:multiLevelType w:val="hybridMultilevel"/>
    <w:lvl w:ilvl="0" w15:tentative="1">
      <w:start w:val="1"/>
      <w:numFmt w:val="bullet"/>
      <w:lvlText w:val="—"/>
      <w:lvlJc w:val="left"/>
      <w:pPr>
        <w:ind w:left="460" w:hanging="260"/>
      </w:pPr>
      <w:rPr>
        <w:color w:val="D91E18"/>
      </w:rPr>
    </w:lvl>
  </w:abstractNum>
  <w:abstractNum w:abstractNumId="4" w15:restartNumberingAfterBreak="0">
    <w:multiLevelType w:val="hybridMultilevel"/>
    <w:lvl w:ilvl="0" w15:tentative="1">
      <w:start w:val="1"/>
      <w:numFmt w:val="bullet"/>
      <w:lvlText w:val="☐"/>
      <w:lvlJc w:val="left"/>
      <w:pPr>
        <w:ind w:left="460" w:hanging="300"/>
      </w:pPr>
      <w:rPr>
        <w:color w:val="111111"/>
      </w:rPr>
    </w:lvl>
  </w:abstractNum>
  <w:abstractNum w:abstractNumId="5" w15:restartNumberingAfterBreak="0">
    <w:multiLevelType w:val="hybridMultilevel"/>
    <w:lvl w:ilvl="0" w15:tentative="1">
      <w:start w:val="1"/>
      <w:numFmt w:val="decimal"/>
      <w:lvlText w:val="%1."/>
      <w:lvlJc w:val="left"/>
      <w:pPr>
        <w:ind w:left="520" w:hanging="320"/>
      </w:pPr>
      <w:rPr>
        <w:b/>
        <w:bCs/>
        <w:color w:val="D91E18"/>
      </w:r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4"/>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eastAsia="Yu Gothic" w:hAnsi="Helvetica Neue"/>
        <w:color w:val="11111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00"/>
      <w:outlineLvl w:val="0"/>
    </w:pPr>
    <w:rPr>
      <w:rFonts w:ascii="Helvetica Neue" w:eastAsia="Yu Gothic" w:hAnsi="Helvetica Neue"/>
      <w:b/>
      <w:bCs/>
      <w:color w:val="111111"/>
      <w:sz w:val="44"/>
      <w:szCs w:val="44"/>
    </w:rPr>
  </w:style>
  <w:style w:type="paragraph" w:styleId="Heading2">
    <w:name w:val="Heading 2"/>
    <w:basedOn w:val="Normal"/>
    <w:next w:val="Normal"/>
    <w:qFormat/>
    <w:pPr>
      <w:spacing w:after="80" w:before="160"/>
      <w:outlineLvl w:val="1"/>
    </w:pPr>
    <w:rPr>
      <w:rFonts w:ascii="Helvetica Neue" w:eastAsia="Yu Gothic" w:hAnsi="Helvetica Neue"/>
      <w:b/>
      <w:bCs/>
      <w:color w:val="111111"/>
      <w:sz w:val="30"/>
      <w:szCs w:val="30"/>
    </w:rPr>
  </w:style>
  <w:style w:type="paragraph" w:styleId="Heading3">
    <w:name w:val="Heading 3"/>
    <w:basedOn w:val="Normal"/>
    <w:next w:val="Normal"/>
    <w:qFormat/>
    <w:pPr>
      <w:spacing w:after="60" w:before="120"/>
      <w:outlineLvl w:val="2"/>
    </w:pPr>
    <w:rPr>
      <w:rFonts w:ascii="Helvetica Neue" w:eastAsia="Yu Gothic" w:hAnsi="Helvetica Neue"/>
      <w:b/>
      <w:bCs/>
      <w:color w:val="11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6d778ffce6bdb362b6a9fba94c6807507e7cb6.png"/><Relationship Id="rId10" Type="http://schemas.openxmlformats.org/officeDocument/2006/relationships/image" Target="media/47cd1ed53013bc250ce84b4a502892ce06bc00b8.png"/><Relationship Id="rId11" Type="http://schemas.openxmlformats.org/officeDocument/2006/relationships/image" Target="media/9bb9f859301e721c7401bff365c285637f1b24d1.png"/><Relationship Id="rId12" Type="http://schemas.openxmlformats.org/officeDocument/2006/relationships/image" Target="media/8003ef15379d3f2d97ba42622396e100584fd52d.png"/><Relationship Id="rId13" Type="http://schemas.openxmlformats.org/officeDocument/2006/relationships/image" Target="media/f8c2fdc0c5e73424b2ed6ad29b4c15270ff22668.png"/><Relationship Id="rId14" Type="http://schemas.openxmlformats.org/officeDocument/2006/relationships/image" Target="media/76912f89831d0437b1a6be604432d547702bd28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2026-06-21T15:49:51.197Z</dcterms:created>
  <dcterms:modified xsi:type="dcterms:W3CDTF">2026-06-21T15:49:51.210Z</dcterms:modified>
</cp:coreProperties>
</file>

<file path=docProps/custom.xml><?xml version="1.0" encoding="utf-8"?>
<Properties xmlns="http://schemas.openxmlformats.org/officeDocument/2006/custom-properties" xmlns:vt="http://schemas.openxmlformats.org/officeDocument/2006/docPropsVTypes"/>
</file>