
<file path=[Content_Types].xml><?xml version="1.0" encoding="utf-8"?>
<Types xmlns="http://schemas.openxmlformats.org/package/2006/content-types">
  <Override PartName="/word/document.xml" ContentType="application/vnd.openxmlformats-officedocument.wordprocessingml.document.main+xml"/>
  <Default Extension="rels" ContentType="application/vnd.openxmlformats-package.relationships+xml"/>
  <Default Extension="xml" ContentType="application/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custom-properties" Target="/docProps/custom.xml" /><Relationship Id="rId3" Type="http://schemas.openxmlformats.org/officeDocument/2006/relationships/extended-properties" Target="/docProps/app.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w:body>
    <w:p w14:paraId="00000001">
      <w:r>
        <w:t>Jason and the Argonauts and Lady Macbeth</w:t>
      </w:r>
      <w:r>
        <w:br/>
      </w:r>
      <w:r>
        <w:t> </w:t>
      </w:r>
    </w:p>
    <w:p w14:paraId="00000002">
      <w:r>
        <w:t>Dear Jason and the and Lady:</w:t>
      </w:r>
    </w:p>
    <w:tbl>
      <w:tblPr>
        <w:tblStyle w:val="TableBasic"/>
        <w:tblW w:type="dxa" w:w="9773"/>
        <w:tblCellSpacing w:type="dxa" w:w="30"/>
      </w:tblPr>
      <w:tr>
        <w:tc>
          <w:tcPr>
            <w:tcW w:type="dxa" w:w="742"/>
            <w:vAlign w:val="center"/>
            <w:tcMar>
              <w:top w:type="dxa" w:w="15"/>
              <w:left w:type="dxa" w:w="15"/>
              <w:bottom w:type="dxa" w:w="15"/>
              <w:right w:type="dxa" w:w="15"/>
            </w:tcMar>
          </w:tcPr>
          <w:p w14:paraId="00000003">
            <w:pPr>
              <w:spacing w:before="0" w:after="0"/>
            </w:pPr>
            <w:r>
              <w:rPr>
                <w:b w:val="1"/>
              </w:rPr>
              <w:t>RE:</w:t>
            </w:r>
          </w:p>
        </w:tc>
        <w:tc>
          <w:tcPr>
            <w:tcW w:type="dxa" w:w="2093"/>
            <w:vAlign w:val="center"/>
            <w:tcMar>
              <w:top w:type="dxa" w:w="15"/>
              <w:left w:type="dxa" w:w="15"/>
              <w:bottom w:type="dxa" w:w="15"/>
              <w:right w:type="dxa" w:w="15"/>
            </w:tcMar>
          </w:tcPr>
          <w:p w14:paraId="00000004">
            <w:pPr>
              <w:spacing w:before="0" w:after="0"/>
            </w:pPr>
            <w:r>
              <w:rPr>
                <w:b w:val="1"/>
              </w:rPr>
              <w:t>Sellers:</w:t>
            </w:r>
          </w:p>
        </w:tc>
        <w:tc>
          <w:tcPr>
            <w:tcW w:type="dxa" w:w="6728"/>
            <w:vAlign w:val="center"/>
            <w:tcMar>
              <w:top w:type="dxa" w:w="15"/>
              <w:left w:type="dxa" w:w="15"/>
              <w:bottom w:type="dxa" w:w="15"/>
              <w:right w:type="dxa" w:w="15"/>
            </w:tcMar>
          </w:tcPr>
          <w:p w14:paraId="00000005">
            <w:pPr>
              <w:spacing w:before="0" w:after="0"/>
            </w:pPr>
            <w:r>
              <w:rPr>
                <w:b w:val="1"/>
              </w:rPr>
              <w:t>Executor of the estate of The old man</w:t>
            </w:r>
          </w:p>
        </w:tc>
      </w:tr>
      <w:tr>
        <w:tc>
          <w:tcPr>
            <w:tcW w:type="dxa" w:w="742"/>
            <w:vAlign w:val="center"/>
            <w:tcMar>
              <w:top w:type="dxa" w:w="15"/>
              <w:left w:type="dxa" w:w="15"/>
              <w:bottom w:type="dxa" w:w="15"/>
              <w:right w:type="dxa" w:w="15"/>
            </w:tcMar>
          </w:tcPr>
          <w:p w14:paraId="00000006">
            <w:pPr>
              <w:spacing w:before="0" w:after="0"/>
            </w:pPr>
            <w:r>
              <w:t> </w:t>
            </w:r>
          </w:p>
        </w:tc>
        <w:tc>
          <w:tcPr>
            <w:tcW w:type="dxa" w:w="2093"/>
            <w:vAlign w:val="center"/>
            <w:tcMar>
              <w:top w:type="dxa" w:w="15"/>
              <w:left w:type="dxa" w:w="15"/>
              <w:bottom w:type="dxa" w:w="15"/>
              <w:right w:type="dxa" w:w="15"/>
            </w:tcMar>
          </w:tcPr>
          <w:p w14:paraId="00000007">
            <w:pPr>
              <w:spacing w:before="0" w:after="0"/>
            </w:pPr>
            <w:r>
              <w:rPr>
                <w:b w:val="1"/>
              </w:rPr>
              <w:t>Purchasers:</w:t>
            </w:r>
          </w:p>
        </w:tc>
        <w:tc>
          <w:tcPr>
            <w:tcW w:type="dxa" w:w="6728"/>
            <w:vAlign w:val="center"/>
            <w:tcMar>
              <w:top w:type="dxa" w:w="15"/>
              <w:left w:type="dxa" w:w="15"/>
              <w:bottom w:type="dxa" w:w="15"/>
              <w:right w:type="dxa" w:w="15"/>
            </w:tcMar>
          </w:tcPr>
          <w:p w14:paraId="00000008">
            <w:pPr>
              <w:spacing w:before="0" w:after="0"/>
            </w:pPr>
            <w:r>
              <w:t> </w:t>
            </w:r>
          </w:p>
        </w:tc>
      </w:tr>
      <w:tr>
        <w:tc>
          <w:tcPr>
            <w:tcW w:type="dxa" w:w="742"/>
            <w:vAlign w:val="center"/>
            <w:tcMar>
              <w:top w:type="dxa" w:w="15"/>
              <w:left w:type="dxa" w:w="15"/>
              <w:bottom w:type="dxa" w:w="15"/>
              <w:right w:type="dxa" w:w="15"/>
            </w:tcMar>
          </w:tcPr>
          <w:p w14:paraId="00000009">
            <w:pPr>
              <w:spacing w:before="0" w:after="0"/>
            </w:pPr>
            <w:r>
              <w:t> </w:t>
            </w:r>
          </w:p>
        </w:tc>
        <w:tc>
          <w:tcPr>
            <w:tcW w:type="dxa" w:w="2093"/>
            <w:vAlign w:val="center"/>
            <w:tcMar>
              <w:top w:type="dxa" w:w="15"/>
              <w:left w:type="dxa" w:w="15"/>
              <w:bottom w:type="dxa" w:w="15"/>
              <w:right w:type="dxa" w:w="15"/>
            </w:tcMar>
          </w:tcPr>
          <w:p w14:paraId="0000000A">
            <w:pPr>
              <w:spacing w:before="0" w:after="0"/>
            </w:pPr>
            <w:r>
              <w:rPr>
                <w:b w:val="1"/>
              </w:rPr>
              <w:t>Property Address:</w:t>
            </w:r>
          </w:p>
        </w:tc>
        <w:tc>
          <w:tcPr>
            <w:tcW w:type="dxa" w:w="6728"/>
            <w:vAlign w:val="center"/>
            <w:tcMar>
              <w:top w:type="dxa" w:w="15"/>
              <w:left w:type="dxa" w:w="15"/>
              <w:bottom w:type="dxa" w:w="15"/>
              <w:right w:type="dxa" w:w="15"/>
            </w:tcMar>
          </w:tcPr>
          <w:p w14:paraId="0000000B">
            <w:pPr>
              <w:spacing w:before="0" w:after="0"/>
            </w:pPr>
            <w:r>
              <w:t> </w:t>
            </w:r>
          </w:p>
        </w:tc>
      </w:tr>
      <w:tr>
        <w:tc>
          <w:tcPr>
            <w:tcW w:type="dxa" w:w="742"/>
            <w:vAlign w:val="center"/>
            <w:tcMar>
              <w:top w:type="dxa" w:w="15"/>
              <w:left w:type="dxa" w:w="15"/>
              <w:bottom w:type="dxa" w:w="15"/>
              <w:right w:type="dxa" w:w="15"/>
            </w:tcMar>
          </w:tcPr>
          <w:p w14:paraId="0000000C">
            <w:pPr>
              <w:spacing w:before="0" w:after="0"/>
            </w:pPr>
            <w:r>
              <w:t> </w:t>
            </w:r>
          </w:p>
        </w:tc>
        <w:tc>
          <w:tcPr>
            <w:tcW w:type="dxa" w:w="2093"/>
            <w:vAlign w:val="center"/>
            <w:tcMar>
              <w:top w:type="dxa" w:w="15"/>
              <w:left w:type="dxa" w:w="15"/>
              <w:bottom w:type="dxa" w:w="15"/>
              <w:right w:type="dxa" w:w="15"/>
            </w:tcMar>
          </w:tcPr>
          <w:p w14:paraId="0000000D">
            <w:pPr>
              <w:spacing w:before="0" w:after="0"/>
            </w:pPr>
            <w:r>
              <w:rPr>
                <w:b w:val="1"/>
              </w:rPr>
              <w:t>Legal Description:</w:t>
            </w:r>
          </w:p>
        </w:tc>
        <w:tc>
          <w:tcPr>
            <w:tcW w:type="dxa" w:w="6728"/>
            <w:vAlign w:val="center"/>
            <w:tcMar>
              <w:top w:type="dxa" w:w="15"/>
              <w:left w:type="dxa" w:w="15"/>
              <w:bottom w:type="dxa" w:w="15"/>
              <w:right w:type="dxa" w:w="15"/>
            </w:tcMar>
          </w:tcPr>
          <w:p w14:paraId="0000000E">
            <w:pPr>
              <w:spacing w:before="0" w:after="0"/>
            </w:pPr>
            <w:r>
              <w:rPr>
                <w:b w:val="1"/>
              </w:rPr>
              <w:t>1210464;9;78</w:t>
            </w:r>
          </w:p>
        </w:tc>
      </w:tr>
      <w:tr>
        <w:tc>
          <w:tcPr>
            <w:tcW w:type="dxa" w:w="742"/>
            <w:vAlign w:val="center"/>
            <w:tcMar>
              <w:top w:type="dxa" w:w="15"/>
              <w:left w:type="dxa" w:w="15"/>
              <w:bottom w:type="dxa" w:w="15"/>
              <w:right w:type="dxa" w:w="15"/>
            </w:tcMar>
          </w:tcPr>
          <w:p w14:paraId="0000000F">
            <w:pPr>
              <w:spacing w:before="0" w:after="0"/>
            </w:pPr>
            <w:r>
              <w:t> </w:t>
            </w:r>
          </w:p>
        </w:tc>
        <w:tc>
          <w:tcPr>
            <w:tcW w:type="dxa" w:w="2093"/>
            <w:vAlign w:val="center"/>
            <w:tcMar>
              <w:top w:type="dxa" w:w="15"/>
              <w:left w:type="dxa" w:w="15"/>
              <w:bottom w:type="dxa" w:w="15"/>
              <w:right w:type="dxa" w:w="15"/>
            </w:tcMar>
          </w:tcPr>
          <w:p w14:paraId="00000010">
            <w:pPr>
              <w:spacing w:before="0" w:after="0"/>
            </w:pPr>
            <w:r>
              <w:rPr>
                <w:b w:val="1"/>
              </w:rPr>
              <w:t>Closing Date:</w:t>
            </w:r>
          </w:p>
        </w:tc>
        <w:tc>
          <w:tcPr>
            <w:tcW w:type="dxa" w:w="6728"/>
            <w:vAlign w:val="center"/>
            <w:tcMar>
              <w:top w:type="dxa" w:w="15"/>
              <w:left w:type="dxa" w:w="15"/>
              <w:bottom w:type="dxa" w:w="15"/>
              <w:right w:type="dxa" w:w="15"/>
            </w:tcMar>
          </w:tcPr>
          <w:p w14:paraId="00000011">
            <w:pPr>
              <w:spacing w:before="0" w:after="0"/>
            </w:pPr>
            <w:r>
              <w:rPr>
                <w:b w:val="1"/>
              </w:rPr>
              <w:t>May 23, 2018</w:t>
            </w:r>
          </w:p>
        </w:tc>
      </w:tr>
      <w:tr>
        <w:tc>
          <w:tcPr>
            <w:tcW w:type="dxa" w:w="742"/>
            <w:vAlign w:val="center"/>
            <w:tcMar>
              <w:top w:type="dxa" w:w="15"/>
              <w:left w:type="dxa" w:w="15"/>
              <w:bottom w:type="dxa" w:w="15"/>
              <w:right w:type="dxa" w:w="15"/>
            </w:tcMar>
          </w:tcPr>
          <w:p w14:paraId="00000012">
            <w:pPr>
              <w:spacing w:before="0" w:after="0"/>
            </w:pPr>
            <w:r>
              <w:t> </w:t>
            </w:r>
          </w:p>
        </w:tc>
        <w:tc>
          <w:tcPr>
            <w:tcW w:type="dxa" w:w="2093"/>
            <w:vAlign w:val="center"/>
            <w:tcMar>
              <w:top w:type="dxa" w:w="15"/>
              <w:left w:type="dxa" w:w="15"/>
              <w:bottom w:type="dxa" w:w="15"/>
              <w:right w:type="dxa" w:w="15"/>
            </w:tcMar>
          </w:tcPr>
          <w:p w14:paraId="00000013">
            <w:pPr>
              <w:spacing w:before="0" w:after="0"/>
            </w:pPr>
            <w:r>
              <w:rPr>
                <w:b w:val="1"/>
              </w:rPr>
              <w:t>Our File No.:</w:t>
            </w:r>
          </w:p>
        </w:tc>
        <w:tc>
          <w:tcPr>
            <w:tcW w:type="dxa" w:w="6728"/>
            <w:vAlign w:val="center"/>
            <w:tcMar>
              <w:top w:type="dxa" w:w="15"/>
              <w:left w:type="dxa" w:w="15"/>
              <w:bottom w:type="dxa" w:w="15"/>
              <w:right w:type="dxa" w:w="15"/>
            </w:tcMar>
          </w:tcPr>
          <w:p w14:paraId="00000014">
            <w:pPr>
              <w:spacing w:before="0" w:after="0"/>
            </w:pPr>
            <w:r>
              <w:rPr>
                <w:b w:val="1"/>
              </w:rPr>
              <w:t>test 2</w:t>
            </w:r>
          </w:p>
        </w:tc>
      </w:tr>
    </w:tbl>
    <w:p w14:paraId="00000015">
      <w:r>
        <w:pict>
          <v:rect o:hr="true" style="height:0.5pt;"/>
        </w:pict>
      </w:r>
    </w:p>
    <w:p w14:paraId="00000016">
      <w:r>
        <w:t>We take this opportunity to remind you of our appointment on _____________________ at _____________________. Please bring two pieces of ID to this appointment, at least one needs to be a government-issued photo ID. Ideally, you'll bring two pieces of government-issued photo ID, for example, a driver's license and a passport.</w:t>
      </w:r>
    </w:p>
    <w:p w14:paraId="00000017">
      <w:r>
        <w:t>Notes on your upcoming sale:</w:t>
      </w:r>
    </w:p>
    <w:p w14:paraId="00000018">
      <w:pPr>
        <w:numPr>
          <w:ilvl w:val="0"/>
          <w:numId w:val="1"/>
        </w:numPr>
        <w:spacing w:before="0" w:after="0"/>
      </w:pPr>
      <w:r>
        <w:t>If you are married, your spouse will need to attend our appointment. Please let us know as soon as you are able if you are married.</w:t>
      </w:r>
    </w:p>
    <w:p w14:paraId="00000019">
      <w:pPr>
        <w:numPr>
          <w:ilvl w:val="0"/>
          <w:numId w:val="1"/>
        </w:numPr>
        <w:spacing w:before="0" w:after="0"/>
      </w:pPr>
      <w:r>
        <w:t>You should contact the various utility companies to have the meters read and service discontinued in your name on the possession date. I recommend that insurance be left in effect until you have received your sale proceeds. Please note that all utility accounts must be paid by you up to the date of possession.</w:t>
      </w:r>
    </w:p>
    <w:p w14:paraId="0000001A">
      <w:pPr>
        <w:numPr>
          <w:ilvl w:val="0"/>
          <w:numId w:val="1"/>
        </w:numPr>
        <w:spacing w:before="0" w:after="0"/>
      </w:pPr>
      <w:r>
        <w:t>Property taxes will be adjusted as of the closing date.</w:t>
      </w:r>
    </w:p>
    <w:p w14:paraId="0000001B">
      <w:pPr>
        <w:numPr>
          <w:ilvl w:val="0"/>
          <w:numId w:val="1"/>
        </w:numPr>
        <w:spacing w:before="0" w:after="0"/>
      </w:pPr>
      <w:r>
        <w:t>If you are on the monthly tax plan, you will need to contact the to cancel the monthly tax plan. Please let us know if you require assistance.</w:t>
      </w:r>
    </w:p>
    <w:p w14:paraId="0000001C">
      <w:pPr>
        <w:numPr>
          <w:ilvl w:val="0"/>
          <w:numId w:val="1"/>
        </w:numPr>
        <w:spacing w:before="0" w:after="0"/>
      </w:pPr>
      <w:r>
        <w:t>The property must be in the same condition on the date of possession as it was at the time of the real estate purchase contract except for reasonable wear and tear.  Please contact us if there are any significant changes to the condition of the property.</w:t>
      </w:r>
    </w:p>
    <w:p w14:paraId="0000001D">
      <w:pPr>
        <w:numPr>
          <w:ilvl w:val="0"/>
          <w:numId w:val="1"/>
        </w:numPr>
        <w:spacing w:before="0" w:after="0"/>
      </w:pPr>
      <w:r>
        <w:t>In addition to the specific goods listed in the Agreement, if any, you are required to leave in the premises all drapery tracks, curtain rods and blinds, together with anything else which is securely attached to the premises.  If you have any doubts about any of these items feel free to contact us.</w:t>
      </w:r>
    </w:p>
    <w:p w14:paraId="0000001E">
      <w:pPr>
        <w:numPr>
          <w:ilvl w:val="0"/>
          <w:numId w:val="1"/>
        </w:numPr>
        <w:spacing w:before="0" w:after="0"/>
      </w:pPr>
      <w:r>
        <w:t>In order that I may ensure that no GST will apply to this transaction you will be asked to sign a certificate when we meet regarding this matter, stating that the premises have not been substantially renovated within the meaning of the Excise Tax Act.  If you suspect that this is not the case please advise me accordingly at your earliest convenience.</w:t>
      </w:r>
    </w:p>
    <w:p w14:paraId="0000001F">
      <w:pPr>
        <w:numPr>
          <w:ilvl w:val="0"/>
          <w:numId w:val="1"/>
        </w:numPr>
        <w:spacing w:before="0" w:after="0"/>
      </w:pPr>
      <w:r>
        <w:t>The estimated legal fees and disbursements are $ 992.29.</w:t>
      </w:r>
    </w:p>
    <w:p w14:paraId="00000020">
      <w:pPr>
        <w:numPr>
          <w:ilvl w:val="0"/>
          <w:numId w:val="1"/>
        </w:numPr>
        <w:spacing w:before="0" w:after="0"/>
      </w:pPr>
      <w:r>
        <w:t>If you would like us to direct deposit the net sale proceeds directly into a bank account, kindly provide a void cheque for that purpose.</w:t>
      </w:r>
    </w:p>
    <w:p w14:paraId="00000021">
      <w:r>
        <w:t>Please do not hesitate to contact us with any questions or concerns.</w:t>
      </w:r>
    </w:p>
    <w:p w14:paraId="00000022">
      <w:r>
        <w:t>I thank you for the opportunity to be of service to you in this matter.</w:t>
      </w:r>
    </w:p>
    <w:p w14:paraId="00000023">
      <w:r>
        <w:t>Yours truly,</w:t>
      </w:r>
      <w:r>
        <w:br/>
      </w:r>
      <w:r>
        <w:t>PROLEGIS SOLUTIONS LTD</w:t>
      </w:r>
      <w:r>
        <w:br/>
      </w:r>
      <w:r>
        <w:drawing xmlns:a="http://schemas.openxmlformats.org/drawingml/2006/main" xmlns:pic="http://schemas.openxmlformats.org/drawingml/2006/picture">
          <wp:inline>
            <wp:extent cx="1333500" cy="1314450"/>
            <wp:docPr id="1" name="Picture 1">
              <a:extLst xmlns:a="http://schemas.openxmlformats.org/drawingml/2006/main">
                <a:ext uri="{C183D7F6-B498-43B3-948B-1728B52AA6E4}">
                  <adec:decorative xmlns:adec="http://schemas.microsoft.com/office/drawing/2017/decorative" val="1"/>
                </a:ext>
              </a:extLst>
            </wp:docPr>
            <a:graphic>
              <a:graphicData uri="http://schemas.openxmlformats.org/drawingml/2006/picture">
                <pic:pic>
                  <pic:nvPicPr>
                    <pic:cNvPr id="2" name="Picture 1">
                      <a:extLst xmlns:a="http://schemas.openxmlformats.org/drawingml/2006/main">
                        <a:ext uri="{C183D7F6-B498-43B3-948B-1728B52AA6E4}">
                          <adec:decorative xmlns:adec="http://schemas.microsoft.com/office/drawing/2017/decorative" val="1"/>
                        </a:ext>
                      </a:extLst>
                    </pic:cNvPr>
                    <pic:cNvPicPr/>
                  </pic:nvPicPr>
                  <pic:blipFill>
                    <a:blip r:embed="rId1"/>
                    <a:srcRect/>
                    <a:stretch>
                      <a:fillRect/>
                    </a:stretch>
                  </pic:blipFill>
                  <pic:spPr bwMode="auto">
                    <a:xfrm>
                      <a:off x="0" y="0"/>
                      <a:ext cx="1333500" cy="1314450"/>
                    </a:xfrm>
                    <a:prstGeom prst="rect"/>
                  </pic:spPr>
                </pic:pic>
              </a:graphicData>
            </a:graphic>
          </wp:inline>
        </w:drawing>
      </w:r>
    </w:p>
    <w:p w14:paraId="00000024">
      <w:r>
        <w:t>Anne Johnson</w:t>
      </w:r>
      <w:r>
        <w:br/>
      </w:r>
      <w:r>
        <w:t>Barrister &amp; Solicitor</w:t>
      </w:r>
    </w:p>
    <w:p w14:paraId="00000025">
      <w:r>
        <w:t>AKJ</w:t>
      </w:r>
    </w:p>
    <w:sectPr>
      <w:pgSz w:w="11906" w:h="16838" w:orient="portrait"/>
      <w:pgMar w:top="1134" w:bottom="1134" w:left="680" w:right="680"/>
    </w:sectPr>
  </w:body>
</w:document>
</file>

<file path=word/numbering.xml><?xml version="1.0" encoding="utf-8"?>
<w:numbering xmlns:w="http://schemas.openxmlformats.org/wordprocessingml/2006/main">
  <w:abstractNum w:abstractNumId="0">
    <w:multiLevelType w:val="hybridMultilevel"/>
    <w:lvl w:ilvl="0">
      <w:start w:val="1"/>
      <w:suff w:val="space"/>
      <w:lvlText w:val="%1."/>
      <w:lvlJc w:val="right"/>
      <w:pPr>
        <w:ind w:left="600"/>
      </w:pPr>
    </w:lvl>
    <w:lvl w:ilvl="1" w:tentative="true">
      <w:start w:val="1"/>
      <w:numFmt w:val="lowerLetter"/>
      <w:suff w:val="space"/>
      <w:lvlText w:val="%2."/>
      <w:lvlJc w:val="right"/>
      <w:pPr>
        <w:ind w:left="1200" w:right="0"/>
      </w:pPr>
    </w:lvl>
    <w:lvl w:ilvl="2" w:tentative="true">
      <w:start w:val="1"/>
      <w:numFmt w:val="lowerRoman"/>
      <w:suff w:val="space"/>
      <w:lvlText w:val="%3."/>
      <w:lvlJc w:val="right"/>
      <w:pPr>
        <w:ind w:left="1800" w:right="0"/>
      </w:pPr>
    </w:lvl>
    <w:lvl w:ilvl="3" w:tentative="true">
      <w:start w:val="1"/>
      <w:suff w:val="space"/>
      <w:lvlText w:val="%4."/>
      <w:lvlJc w:val="right"/>
      <w:pPr>
        <w:ind w:left="2400" w:right="0"/>
      </w:pPr>
    </w:lvl>
    <w:lvl w:ilvl="4" w:tentative="true">
      <w:start w:val="1"/>
      <w:numFmt w:val="lowerLetter"/>
      <w:suff w:val="space"/>
      <w:lvlText w:val="%5."/>
      <w:lvlJc w:val="right"/>
      <w:pPr>
        <w:ind w:left="3000" w:right="0"/>
      </w:pPr>
    </w:lvl>
    <w:lvl w:ilvl="5" w:tentative="true">
      <w:start w:val="1"/>
      <w:numFmt w:val="lowerRoman"/>
      <w:suff w:val="space"/>
      <w:lvlText w:val="%6."/>
      <w:lvlJc w:val="right"/>
      <w:pPr>
        <w:ind w:left="3600" w:right="0"/>
      </w:pPr>
    </w:lvl>
    <w:lvl w:ilvl="6" w:tentative="true">
      <w:start w:val="1"/>
      <w:suff w:val="space"/>
      <w:lvlText w:val="%7."/>
      <w:lvlJc w:val="right"/>
      <w:pPr>
        <w:ind w:left="4200" w:right="0"/>
      </w:pPr>
    </w:lvl>
    <w:lvl w:ilvl="7" w:tentative="true">
      <w:start w:val="1"/>
      <w:numFmt w:val="lowerLetter"/>
      <w:suff w:val="space"/>
      <w:lvlText w:val="%8."/>
      <w:lvlJc w:val="right"/>
      <w:pPr>
        <w:ind w:left="4800" w:right="0"/>
      </w:pPr>
    </w:lvl>
    <w:lvl w:ilvl="8" w:tentative="true">
      <w:start w:val="1"/>
      <w:numFmt w:val="lowerRoman"/>
      <w:suff w:val="space"/>
      <w:lvlText w:val="%9."/>
      <w:lvlJc w:val="right"/>
      <w:pPr>
        <w:ind w:left="5400" w:right="0"/>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color w:val="000000"/>
        <w:sz w:val="24"/>
        <w:rFonts w:ascii="Arial" w:hAnsi="Arial" w:cs="Arial" w:eastAsia="Arial"/>
        <w:lang w:val="en"/>
      </w:rPr>
    </w:rPrDefault>
    <w:pPrDefault>
      <w:pPr>
        <w:spacing w:line="240" w:before="240" w:after="240"/>
        <w:jc w:val="left"/>
      </w:pPr>
    </w:pPrDefault>
  </w:docDefaults>
  <w:style w:type="paragraph" w:default="1" w:styleId="Normal">
    <w:name w:val="Normal"/>
    <w:uiPriority w:val="0"/>
    <w:qFormat/>
  </w:style>
  <w:style w:type="paragraph" w:styleId="Heading1">
    <w:name w:val="Heading 1"/>
    <w:basedOn w:val="Normal"/>
    <w:next w:val="Normal"/>
    <w:uiPriority w:val="9"/>
    <w:qFormat/>
    <w:pPr>
      <w:spacing w:before="161" w:after="161"/>
      <w:outlineLvl w:val="0"/>
    </w:pPr>
    <w:rPr>
      <w:b w:val="1"/>
    </w:rPr>
  </w:style>
  <w:style w:type="paragraph" w:styleId="Heading2">
    <w:name w:val="Heading 2"/>
    <w:basedOn w:val="Normal"/>
    <w:next w:val="Normal"/>
    <w:uiPriority w:val="9"/>
    <w:semiHidden/>
    <w:unhideWhenUsed/>
    <w:qFormat/>
    <w:pPr>
      <w:spacing w:before="199" w:after="199"/>
      <w:outlineLvl w:val="1"/>
    </w:pPr>
    <w:rPr>
      <w:b w:val="1"/>
    </w:rPr>
  </w:style>
  <w:style w:type="paragraph" w:styleId="Heading3">
    <w:name w:val="Heading 3"/>
    <w:basedOn w:val="Normal"/>
    <w:next w:val="Normal"/>
    <w:uiPriority w:val="9"/>
    <w:semiHidden/>
    <w:unhideWhenUsed/>
    <w:qFormat/>
    <w:pPr>
      <w:outlineLvl w:val="2"/>
    </w:pPr>
    <w:rPr>
      <w:b w:val="1"/>
    </w:rPr>
  </w:style>
  <w:style w:type="paragraph" w:styleId="Heading4">
    <w:name w:val="Heading 4"/>
    <w:basedOn w:val="Normal"/>
    <w:next w:val="Normal"/>
    <w:uiPriority w:val="9"/>
    <w:semiHidden/>
    <w:unhideWhenUsed/>
    <w:qFormat/>
    <w:pPr>
      <w:spacing w:before="319" w:after="319"/>
      <w:outlineLvl w:val="3"/>
    </w:pPr>
    <w:rPr>
      <w:b w:val="1"/>
    </w:rPr>
  </w:style>
  <w:style w:type="paragraph" w:styleId="Heading5">
    <w:name w:val="Heading 5"/>
    <w:basedOn w:val="Normal"/>
    <w:next w:val="Normal"/>
    <w:uiPriority w:val="9"/>
    <w:semiHidden/>
    <w:unhideWhenUsed/>
    <w:qFormat/>
    <w:pPr>
      <w:spacing w:before="401" w:after="401"/>
      <w:outlineLvl w:val="4"/>
    </w:pPr>
    <w:rPr>
      <w:b w:val="1"/>
    </w:rPr>
  </w:style>
  <w:style w:type="paragraph" w:styleId="Heading6">
    <w:name w:val="Heading 6"/>
    <w:basedOn w:val="Normal"/>
    <w:next w:val="Normal"/>
    <w:uiPriority w:val="9"/>
    <w:semiHidden/>
    <w:unhideWhenUsed/>
    <w:qFormat/>
    <w:pPr>
      <w:spacing w:before="559" w:after="559"/>
      <w:outlineLvl w:val="5"/>
    </w:pPr>
    <w:rPr>
      <w:b w:val="1"/>
    </w:rPr>
  </w:style>
  <w:style w:type="paragraph" w:styleId="Quote">
    <w:name w:val="Quote"/>
    <w:basedOn w:val="Normal"/>
    <w:next w:val="Normal"/>
    <w:uiPriority w:val="29"/>
    <w:qFormat/>
    <w:pPr>
      <w:ind w:left="600" w:right="600"/>
      <w:pBdr>
        <w:left w:sz="30" w:val="single" w:color="CCCCCC" w:space="18"/>
      </w:pBdr>
    </w:pPr>
  </w:style>
  <w:style w:type="paragraph" w:styleId="PlainText">
    <w:name w:val="Plain Text"/>
    <w:basedOn w:val="Normal"/>
    <w:next w:val="Normal"/>
    <w:uiPriority w:val="99"/>
    <w:semiHidden/>
    <w:unhideWhenUsed/>
    <w:qFormat/>
    <w:pPr>
      <w:pBdr>
        <w:top w:sz="6" w:val="single" w:color="C4C4C4" w:space="10"/>
        <w:left w:sz="6" w:val="single" w:color="C4C4C4" w:space="10"/>
        <w:bottom w:sz="6" w:val="single" w:color="C4C4C4" w:space="10"/>
        <w:right w:sz="6" w:val="single" w:color="C4C4C4" w:space="10"/>
      </w:pBdr>
    </w:pPr>
  </w:style>
  <w:style w:type="paragraph" w:styleId="EndnoteText">
    <w:name w:val="Endnote Text"/>
    <w:basedOn w:val="Normal"/>
    <w:next w:val="Normal"/>
    <w:uiPriority w:val="99"/>
    <w:semiHidden/>
    <w:unhideWhenUsed/>
    <w:pPr>
      <w:spacing w:before="0" w:after="0"/>
    </w:pPr>
  </w:style>
  <w:style w:type="character" w:styleId="Code">
    <w:name w:val="Code"/>
    <w:uiPriority w:val="99"/>
    <w:semiHidden/>
    <w:unhideWhenUsed/>
    <w:qFormat/>
  </w:style>
  <w:style w:type="character" w:styleId="Hyperlink">
    <w:name w:val="Hyperlink"/>
    <w:uiPriority w:val="99"/>
    <w:unhideWhenUsed/>
    <w:rPr>
      <w:color w:val="0000EE"/>
      <w:u w:val="single" w:color="0000EE"/>
    </w:rPr>
  </w:style>
  <w:style w:type="character" w:styleId="EndnoteReference">
    <w:name w:val="Endnote Reference"/>
    <w:uiPriority w:val="99"/>
    <w:semiHidden/>
    <w:unhideWhenUsed/>
    <w:rPr>
      <w:vertAlign w:val="superscript"/>
    </w:rPr>
  </w:style>
  <w:style w:type="table" w:default="1" w:styleId="TableNormal">
    <w:name w:val="Normal Table"/>
    <w:uiPriority w:val="99"/>
    <w:semiHidden/>
    <w:unhideWhenUsed/>
  </w:style>
  <w:style w:type="table" w:styleId="TableBasic">
    <w:name w:val="Basic Table"/>
    <w:basedOn w:val="TableNormal"/>
    <w:uiPriority w:val="99"/>
    <w:semiHidden/>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line="240" w:before="0" w:after="0"/>
    </w:pPr>
  </w:style>
</w:styles>
</file>

<file path=word/_rels/document.xml.rels><?xml version="1.0" encoding="UTF-8" standalone="yes"?><Relationships xmlns="http://schemas.openxmlformats.org/package/2006/relationships"><Relationship Id="rId1" Type="http://schemas.openxmlformats.org/officeDocument/2006/relationships/image" Target="/word/media/mId1.jpg" /><Relationship Id="rId2" Type="http://schemas.openxmlformats.org/officeDocument/2006/relationships/styles" Target="/word/styles.xml" /><Relationship Id="rId3" Type="http://schemas.openxmlformats.org/officeDocument/2006/relationships/numbering" Target="/word/numbering.xml" /><Relationship Id="rId4" Type="http://schemas.openxmlformats.org/officeDocument/2006/relationships/settings" Target="/word/settings.xml" /></Relationships>
</file>

<file path=docProps/app.xml><?xml version="1.0" encoding="utf-8"?>
<Properties xmlns="http://schemas.openxmlformats.org/officeDocument/2006/extended-properties" xmlns:vt="http://schemas.openxmlformats.org/officeDocument/2006/docPropsVTypes">
  <Application>Export to Word for RTE</Application>
  <AppVersion>2.0</AppVersion>
</Properties>
</file>

<file path=docProps/custom.xml><?xml version="1.0" encoding="utf-8"?>
<Properties xmlns="http://schemas.openxmlformats.org/officeDocument/2006/custom-properties" xmlns:vt="http://schemas.openxmlformats.org/officeDocument/2006/docPropsVTypes">
  <property name="Source" fmtid="{405D14EB-134A-4D66-BAA6-5D216049468B}" pid="2">
    <vt:lpwstr>Export to Word for RTE</vt:lpwstr>
  </property>
  <property name="Version" fmtid="{405D14EB-134A-4D66-BAA6-5D216049468B}" pid="3">
    <vt:lpwstr>2.0</vt:lpwstr>
  </property>
</Properties>
</file>