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4147" w14:textId="77777777" w:rsidR="00C15428" w:rsidRDefault="00C15428" w:rsidP="00C15428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A817DB" wp14:editId="55A7D817">
            <wp:extent cx="2476500" cy="1333500"/>
            <wp:effectExtent l="0" t="0" r="0" b="0"/>
            <wp:docPr id="11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0C3E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6C8CA35A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6A63A536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0BC5E9A7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42A167C3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4516713E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0903235B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587006A4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24B64480" w14:textId="431A19E3" w:rsidR="00C15428" w:rsidRDefault="00C15428" w:rsidP="00C15428">
      <w:pPr>
        <w:spacing w:line="254" w:lineRule="auto"/>
        <w:jc w:val="center"/>
        <w:rPr>
          <w:rFonts w:ascii="Arial" w:hAnsi="Arial" w:cs="Arial"/>
          <w:sz w:val="24"/>
          <w:szCs w:val="24"/>
        </w:rPr>
      </w:pPr>
      <w:r w:rsidRPr="00C15428">
        <w:rPr>
          <w:rFonts w:ascii="Arial" w:hAnsi="Arial" w:cs="Arial"/>
          <w:b/>
          <w:bCs/>
          <w:sz w:val="24"/>
          <w:szCs w:val="24"/>
        </w:rPr>
        <w:t xml:space="preserve">O que é ESG – Environmental, Social </w:t>
      </w:r>
      <w:proofErr w:type="spellStart"/>
      <w:r w:rsidRPr="00C15428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C15428">
        <w:rPr>
          <w:rFonts w:ascii="Arial" w:hAnsi="Arial" w:cs="Arial"/>
          <w:b/>
          <w:bCs/>
          <w:sz w:val="24"/>
          <w:szCs w:val="24"/>
        </w:rPr>
        <w:t xml:space="preserve"> Governance, seu significado, seu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15428">
        <w:rPr>
          <w:rFonts w:ascii="Arial" w:hAnsi="Arial" w:cs="Arial"/>
          <w:b/>
          <w:bCs/>
          <w:sz w:val="24"/>
          <w:szCs w:val="24"/>
        </w:rPr>
        <w:t>papel, sua história e sua importância?</w:t>
      </w:r>
    </w:p>
    <w:p w14:paraId="7F6EB49E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55141499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097BFABB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7E670D84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527E7C49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5972D5C2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257F5A21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21B177FC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3054C9C7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3FCD98DB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4D6DE0ED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0B5AB5FF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</w:p>
    <w:p w14:paraId="3204BF92" w14:textId="77777777" w:rsidR="00C15428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UC: Inovação, Sustentabilidade e Competitividade Empresarial.</w:t>
      </w:r>
    </w:p>
    <w:p w14:paraId="7B3605E6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Aluno: </w:t>
      </w:r>
      <w:r>
        <w:rPr>
          <w:rFonts w:ascii="Arial" w:hAnsi="Arial" w:cs="Arial"/>
          <w:b/>
          <w:bCs/>
          <w:sz w:val="24"/>
          <w:szCs w:val="24"/>
        </w:rPr>
        <w:t>Pedro Henrique Pires Dos Santos</w:t>
      </w:r>
    </w:p>
    <w:p w14:paraId="628D3BCB" w14:textId="77777777" w:rsidR="00C15428" w:rsidRDefault="00C15428" w:rsidP="00C15428">
      <w:pPr>
        <w:spacing w:line="25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Curso: </w:t>
      </w:r>
      <w:r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5F3BC2AC" w14:textId="77777777" w:rsidR="00C15428" w:rsidRPr="00964965" w:rsidRDefault="00C15428" w:rsidP="00C15428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Professor: </w:t>
      </w:r>
      <w:r>
        <w:rPr>
          <w:rFonts w:ascii="Arial" w:hAnsi="Arial" w:cs="Arial"/>
          <w:b/>
          <w:bCs/>
          <w:sz w:val="24"/>
          <w:szCs w:val="24"/>
        </w:rPr>
        <w:t>Robson Calvetti</w:t>
      </w:r>
    </w:p>
    <w:p w14:paraId="14B0B989" w14:textId="40B38773" w:rsidR="00D86B82" w:rsidRDefault="00D86B82" w:rsidP="00D86B82">
      <w:pPr>
        <w:ind w:firstLine="708"/>
        <w:jc w:val="center"/>
        <w:rPr>
          <w:rFonts w:ascii="Times New Roman" w:hAnsi="Times New Roman"/>
          <w:b/>
          <w:bCs/>
          <w:sz w:val="24"/>
          <w:szCs w:val="24"/>
        </w:rPr>
      </w:pPr>
      <w:r w:rsidRPr="00D86B82">
        <w:rPr>
          <w:rFonts w:ascii="Times New Roman" w:hAnsi="Times New Roman"/>
          <w:b/>
          <w:bCs/>
          <w:sz w:val="24"/>
          <w:szCs w:val="24"/>
        </w:rPr>
        <w:lastRenderedPageBreak/>
        <w:t>Introdução</w:t>
      </w:r>
      <w:r w:rsidR="0033398B">
        <w:rPr>
          <w:rFonts w:ascii="Times New Roman" w:hAnsi="Times New Roman"/>
          <w:b/>
          <w:bCs/>
          <w:sz w:val="24"/>
          <w:szCs w:val="24"/>
        </w:rPr>
        <w:t xml:space="preserve"> ao conceito de ESG</w:t>
      </w:r>
    </w:p>
    <w:p w14:paraId="459B6551" w14:textId="77777777" w:rsidR="0033398B" w:rsidRDefault="0033398B" w:rsidP="00D86B82">
      <w:pPr>
        <w:ind w:firstLine="708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2D0DA4" w14:textId="77777777" w:rsidR="00D86B82" w:rsidRDefault="00D86B82" w:rsidP="00D86B82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Atualmente, o mundo dos negócios está mudando muito, principalmente porque as empresas estão cada vez mais preocupadas com o meio ambiente, a sociedade e a ética. É aí que entra o ESG (ambiental, social e governança), uma ideia que busca avaliar as empresas de um jeito diferente. Além de olhar para o lucro, o ESG também considera como as empresas afetam a sociedade e o planeta. Desse modo, o ESG se firma como uma ferramenta essencial para incentivar empresas a serem mais responsáveis, sustentáveis e transparentes.</w:t>
      </w:r>
    </w:p>
    <w:p w14:paraId="55C91B48" w14:textId="6A8666E6" w:rsidR="00D86B82" w:rsidRDefault="00D86B82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/>
      </w:r>
    </w:p>
    <w:p w14:paraId="7AF7F6E6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E85A378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3DA0B06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164B765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11A3C32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1A1D2F0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3A9499D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C4FB842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04E0033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16D1794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8BB0650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A58EDF0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233BBE3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65D3A6B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9DA3D66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E5DD2CF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1659483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93A2745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3397523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C67096A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12260DE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8B8ED00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F9F9592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DC0FABC" w14:textId="77777777" w:rsidR="0033398B" w:rsidRDefault="0033398B" w:rsidP="00D86B82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60B60E6" w14:textId="5BED8E19" w:rsidR="0033398B" w:rsidRPr="00D86B82" w:rsidRDefault="0033398B" w:rsidP="0033398B">
      <w:pPr>
        <w:ind w:firstLine="708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Definição e visão geral do ESG</w:t>
      </w:r>
    </w:p>
    <w:p w14:paraId="15768A31" w14:textId="3A9F84A6" w:rsidR="00277E51" w:rsidRPr="00D86B82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Atualmente, o ESG – sigla em inglês que representa Ambiental, Social e Governança – tem se destacado no universo corporativo e financeiro. Essa abordagem inovadora avalia o desempenho das empresas, considerando não só o aspecto financeiro, mas também os impactos ambientais e sociais, além da qualidade da gestão. Assim, o ESG propõe um modelo que equilibra o crescimento econômico com a responsabilidade social e a ética nos negócios.</w:t>
      </w:r>
    </w:p>
    <w:p w14:paraId="7FA046AC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68E83C7B" w14:textId="343493ED" w:rsidR="0033398B" w:rsidRPr="0033398B" w:rsidRDefault="0033398B" w:rsidP="0033398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Pilar Ambiental</w:t>
      </w:r>
    </w:p>
    <w:p w14:paraId="42C442A0" w14:textId="77777777" w:rsidR="00277E51" w:rsidRPr="00D86B82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No pilar ambiental, o ESG engloba as iniciativas das empresas para proteger o meio ambiente e minimizar os impactos negativos de suas atividades. Isso envolve ações como reduzir a emissão de poluentes, usar os recursos naturais de forma consciente, adotar energias renováveis e gerenciar resíduos de maneira adequada. Empresas que investem nisso mostram um compromisso com a sustentabilidade e com a preservação dos recursos para o futuro.</w:t>
      </w:r>
    </w:p>
    <w:p w14:paraId="7E3CBDA0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7E57E24B" w14:textId="1F6DFF7A" w:rsidR="0033398B" w:rsidRPr="0033398B" w:rsidRDefault="0033398B" w:rsidP="0033398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Pilar Social</w:t>
      </w:r>
    </w:p>
    <w:p w14:paraId="7B43AA98" w14:textId="066C286F" w:rsidR="00277E51" w:rsidRPr="00D86B82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O pilar social, por outro lado, foca na relação da empresa com seus funcionários, clientes e a sociedade. Assuntos como diversidade, inclusão, respeito aos direitos humanos, boas condições de trabalho e envolvimento com a comunidade são essenciais aqui. Empresas que valorizam as pessoas e promovem ações sociais tendem a ter uma imagem melhor e a fortalecer seus laços com o público.</w:t>
      </w:r>
    </w:p>
    <w:p w14:paraId="6DF472A4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236AA7DB" w14:textId="3042783A" w:rsidR="0033398B" w:rsidRPr="0033398B" w:rsidRDefault="0033398B" w:rsidP="0033398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Pilar de Governança</w:t>
      </w:r>
    </w:p>
    <w:p w14:paraId="55DEED4C" w14:textId="77777777" w:rsidR="00277E51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Já o pilar de governança diz respeito à forma como a empresa é gerida, incluindo transparência, ética, responsabilidade e combate à corrupção. Uma boa governança garante decisões claras e alinhadas aos interesses de todos, aumentando a credibilidade da empresa. Isso é fundamental para garantir que as práticas ambientais e sociais sejam reais e não apenas uma estratégia de marketing.</w:t>
      </w:r>
    </w:p>
    <w:p w14:paraId="64424FDA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16F76EF0" w14:textId="5EEED89A" w:rsidR="002D59CB" w:rsidRPr="002D59CB" w:rsidRDefault="002D59CB" w:rsidP="002D59C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Origem e evolução do ESG</w:t>
      </w:r>
    </w:p>
    <w:p w14:paraId="5EFE56D4" w14:textId="77777777" w:rsidR="00277E51" w:rsidRPr="00D86B82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 xml:space="preserve">O ESG começou a ganhar força no início dos anos 2000, após o relatório “Who </w:t>
      </w:r>
      <w:proofErr w:type="spellStart"/>
      <w:r w:rsidRPr="00D86B82">
        <w:rPr>
          <w:rFonts w:ascii="Times New Roman" w:hAnsi="Times New Roman"/>
        </w:rPr>
        <w:t>Cares</w:t>
      </w:r>
      <w:proofErr w:type="spellEnd"/>
      <w:r w:rsidRPr="00D86B82">
        <w:rPr>
          <w:rFonts w:ascii="Times New Roman" w:hAnsi="Times New Roman"/>
        </w:rPr>
        <w:t xml:space="preserve"> </w:t>
      </w:r>
      <w:proofErr w:type="spellStart"/>
      <w:r w:rsidRPr="00D86B82">
        <w:rPr>
          <w:rFonts w:ascii="Times New Roman" w:hAnsi="Times New Roman"/>
        </w:rPr>
        <w:t>Wins</w:t>
      </w:r>
      <w:proofErr w:type="spellEnd"/>
      <w:r w:rsidRPr="00D86B82">
        <w:rPr>
          <w:rFonts w:ascii="Times New Roman" w:hAnsi="Times New Roman"/>
        </w:rPr>
        <w:t>”, com apoio da ONU. Esse documento incentivou investidores e empresas a considerar critérios socioambientais em suas decisões, transformando o mercado global. Desde então, o ESG evoluiu e se tornou popular entre empresas, governos e investidores em todo o mundo.</w:t>
      </w:r>
    </w:p>
    <w:p w14:paraId="5E55EDC9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54B8D26E" w14:textId="69E30254" w:rsidR="002D59CB" w:rsidRPr="002D59CB" w:rsidRDefault="002D59CB" w:rsidP="002D59C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 papel do ESG nas empresas</w:t>
      </w:r>
    </w:p>
    <w:p w14:paraId="21903201" w14:textId="77777777" w:rsidR="00277E51" w:rsidRPr="00D86B82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O ESG é crucial para direcionar as estratégias das empresas atualmente. Ele ajuda a identificar riscos e oportunidades, permitindo decisões mais conscientes e sustentáveis. Além disso, empresas com práticas ESG atraem mais investidores, pois são vistas como menos arriscadas e mais preparadas para o futuro. Isso é ainda mais importante em um mundo com mudanças climáticas, desigualdades e maior demanda por transparência.</w:t>
      </w:r>
    </w:p>
    <w:p w14:paraId="6C6F59DC" w14:textId="4C31D79C" w:rsidR="00277E51" w:rsidRPr="002D59CB" w:rsidRDefault="002D59CB" w:rsidP="002D59CB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2D59CB">
        <w:rPr>
          <w:rFonts w:ascii="Times New Roman" w:hAnsi="Times New Roman"/>
          <w:b/>
          <w:bCs/>
          <w:sz w:val="24"/>
          <w:szCs w:val="24"/>
        </w:rPr>
        <w:lastRenderedPageBreak/>
        <w:t>Importância e benefícios do ESG</w:t>
      </w:r>
    </w:p>
    <w:p w14:paraId="784571B3" w14:textId="10C14D4C" w:rsidR="00277E51" w:rsidRPr="00D86B82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 xml:space="preserve">A </w:t>
      </w:r>
      <w:r w:rsidR="00DA0702" w:rsidRPr="00D86B82">
        <w:rPr>
          <w:rFonts w:ascii="Times New Roman" w:hAnsi="Times New Roman"/>
        </w:rPr>
        <w:t>execução</w:t>
      </w:r>
      <w:r w:rsidRPr="00D86B82">
        <w:rPr>
          <w:rFonts w:ascii="Times New Roman" w:hAnsi="Times New Roman"/>
        </w:rPr>
        <w:t xml:space="preserve"> do ESG fica </w:t>
      </w:r>
      <w:r w:rsidR="00DA0702" w:rsidRPr="00D86B82">
        <w:rPr>
          <w:rFonts w:ascii="Times New Roman" w:hAnsi="Times New Roman"/>
        </w:rPr>
        <w:t>marcante</w:t>
      </w:r>
      <w:r w:rsidRPr="00D86B82">
        <w:rPr>
          <w:rFonts w:ascii="Times New Roman" w:hAnsi="Times New Roman"/>
        </w:rPr>
        <w:t xml:space="preserve"> na sua aptidão para </w:t>
      </w:r>
      <w:r w:rsidR="00364737" w:rsidRPr="00D86B82">
        <w:rPr>
          <w:rFonts w:ascii="Times New Roman" w:hAnsi="Times New Roman"/>
        </w:rPr>
        <w:t>preparar</w:t>
      </w:r>
      <w:r w:rsidRPr="00D86B82">
        <w:rPr>
          <w:rFonts w:ascii="Times New Roman" w:hAnsi="Times New Roman"/>
        </w:rPr>
        <w:t xml:space="preserve"> um progresso mais justo e consciente. Ao incorporar questões ecológicas, sociais e de gestão, as empresas começam a operar de forma mais íntegra e ecologicamente correta, auxiliando não só no seu avanço, mas também no conforto da comunidade e do planeta. Ademais, ações ESG podem gerar um diferencial no mercado, consolidar a imagem da empresa e ampliar a credibilidade dos clientes.</w:t>
      </w:r>
    </w:p>
    <w:p w14:paraId="1B27DBE3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02757AB9" w14:textId="034DCB5A" w:rsidR="002D59CB" w:rsidRPr="002D59CB" w:rsidRDefault="002D59CB" w:rsidP="002D59CB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2D59CB">
        <w:rPr>
          <w:rFonts w:ascii="Times New Roman" w:hAnsi="Times New Roman"/>
          <w:b/>
          <w:bCs/>
          <w:sz w:val="24"/>
          <w:szCs w:val="24"/>
        </w:rPr>
        <w:t>Desafios na implementação do ESG</w:t>
      </w:r>
    </w:p>
    <w:p w14:paraId="632B50AE" w14:textId="4AF33CAA" w:rsidR="00277E51" w:rsidRPr="00D86B82" w:rsidRDefault="00DA0702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A</w:t>
      </w:r>
      <w:r w:rsidR="00277E51" w:rsidRPr="00D86B82">
        <w:rPr>
          <w:rFonts w:ascii="Times New Roman" w:hAnsi="Times New Roman"/>
        </w:rPr>
        <w:t xml:space="preserve"> efetivação do ESG ainda encontra barreiras, como a ausência de critérios uniformes, o empecilho de adequação interna nas companhias e o perigo do "</w:t>
      </w:r>
      <w:proofErr w:type="spellStart"/>
      <w:r w:rsidR="00277E51" w:rsidRPr="00D86B82">
        <w:rPr>
          <w:rFonts w:ascii="Times New Roman" w:hAnsi="Times New Roman"/>
        </w:rPr>
        <w:t>greenwashing</w:t>
      </w:r>
      <w:proofErr w:type="spellEnd"/>
      <w:r w:rsidR="00277E51" w:rsidRPr="00D86B82">
        <w:rPr>
          <w:rFonts w:ascii="Times New Roman" w:hAnsi="Times New Roman"/>
        </w:rPr>
        <w:t>", quando firmas fingem ações sustentáveis sem de fato executá-las. Sendo assim, é crucial que exista um real envolvimento e clareza na adesão a tais ações.</w:t>
      </w:r>
    </w:p>
    <w:p w14:paraId="0FC30C6A" w14:textId="77777777" w:rsidR="00277E51" w:rsidRDefault="00277E51" w:rsidP="0033398B">
      <w:pPr>
        <w:jc w:val="both"/>
        <w:rPr>
          <w:rFonts w:ascii="Times New Roman" w:hAnsi="Times New Roman"/>
        </w:rPr>
      </w:pPr>
    </w:p>
    <w:p w14:paraId="1CF7F10A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298F33DE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3573F73F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1C97A56C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42447115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2BA7CF1D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179799DB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547A06A4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6A624691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6A79115A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09116DEA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637C7B6A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01B5FEBB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3B6EE952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0DE0E4B6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736BDC08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6EF2F1FC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4A3EE9D8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44377D45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2CD8737D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75F9CFBF" w14:textId="77777777" w:rsidR="002D59CB" w:rsidRDefault="002D59CB" w:rsidP="0033398B">
      <w:pPr>
        <w:jc w:val="both"/>
        <w:rPr>
          <w:rFonts w:ascii="Times New Roman" w:hAnsi="Times New Roman"/>
        </w:rPr>
      </w:pPr>
    </w:p>
    <w:p w14:paraId="18883A68" w14:textId="77777777" w:rsidR="002D59CB" w:rsidRDefault="002D59CB" w:rsidP="0033398B">
      <w:pPr>
        <w:ind w:firstLine="708"/>
        <w:jc w:val="both"/>
        <w:rPr>
          <w:rFonts w:ascii="Times New Roman" w:hAnsi="Times New Roman"/>
        </w:rPr>
      </w:pPr>
    </w:p>
    <w:p w14:paraId="43D53AD2" w14:textId="1A4D233D" w:rsidR="002D59CB" w:rsidRPr="002D59CB" w:rsidRDefault="002D59CB" w:rsidP="002D59CB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2D59CB">
        <w:rPr>
          <w:rFonts w:ascii="Times New Roman" w:hAnsi="Times New Roman"/>
          <w:b/>
          <w:bCs/>
          <w:sz w:val="24"/>
          <w:szCs w:val="24"/>
        </w:rPr>
        <w:lastRenderedPageBreak/>
        <w:t>Conclusão</w:t>
      </w:r>
    </w:p>
    <w:p w14:paraId="40C3B780" w14:textId="59819593" w:rsidR="002E011C" w:rsidRDefault="00277E51" w:rsidP="0033398B">
      <w:pPr>
        <w:ind w:firstLine="708"/>
        <w:jc w:val="both"/>
        <w:rPr>
          <w:rFonts w:ascii="Times New Roman" w:hAnsi="Times New Roman"/>
        </w:rPr>
      </w:pPr>
      <w:r w:rsidRPr="00D86B82">
        <w:rPr>
          <w:rFonts w:ascii="Times New Roman" w:hAnsi="Times New Roman"/>
        </w:rPr>
        <w:t>Em resumo, o ESG simboliza um avanço na maneira como as empresas são analisadas e administradas, denotando uma inquietação cada vez maior com o reflexo das atividades financeiras no globo. Mais que uma moda, é uma urgência perante os desafios contemporâneos, sendo crucial para a edificação de um futuro mais duradouro, imparcial e correto.</w:t>
      </w:r>
    </w:p>
    <w:p w14:paraId="441A1156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2DA1009A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79C40CBC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61F901B9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04E49419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64FAA6AC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66271633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768AEFAE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39142000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62C5E6EC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6A58D806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3B2A2DF1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6B86D6C1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550F78FB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3AA9DE3C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49D94CAC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50637048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0CE94D5F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49A6CA9F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17B6C78D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033D3461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029DFE3B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5A619D30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15AB4A2B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79E101E3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015F8FB9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47569254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163635AA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0BE98CBA" w14:textId="77777777" w:rsidR="00A13316" w:rsidRDefault="00A13316" w:rsidP="0033398B">
      <w:pPr>
        <w:ind w:firstLine="708"/>
        <w:jc w:val="both"/>
        <w:rPr>
          <w:rFonts w:ascii="Times New Roman" w:hAnsi="Times New Roman"/>
        </w:rPr>
      </w:pPr>
    </w:p>
    <w:p w14:paraId="3A47864C" w14:textId="25B5AA49" w:rsidR="00A13316" w:rsidRDefault="00A13316" w:rsidP="00A13316">
      <w:pPr>
        <w:ind w:firstLine="708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Referência </w:t>
      </w:r>
      <w:r w:rsidRPr="00A13316">
        <w:rPr>
          <w:rFonts w:ascii="Times New Roman" w:hAnsi="Times New Roman"/>
          <w:b/>
          <w:bCs/>
          <w:sz w:val="24"/>
          <w:szCs w:val="24"/>
        </w:rPr>
        <w:t>Bibliogr</w:t>
      </w:r>
      <w:r>
        <w:rPr>
          <w:rFonts w:ascii="Times New Roman" w:hAnsi="Times New Roman"/>
          <w:b/>
          <w:bCs/>
          <w:sz w:val="24"/>
          <w:szCs w:val="24"/>
        </w:rPr>
        <w:t>á</w:t>
      </w:r>
      <w:r w:rsidRPr="00A13316">
        <w:rPr>
          <w:rFonts w:ascii="Times New Roman" w:hAnsi="Times New Roman"/>
          <w:b/>
          <w:bCs/>
          <w:sz w:val="24"/>
          <w:szCs w:val="24"/>
        </w:rPr>
        <w:t>fi</w:t>
      </w:r>
      <w:r>
        <w:rPr>
          <w:rFonts w:ascii="Times New Roman" w:hAnsi="Times New Roman"/>
          <w:b/>
          <w:bCs/>
          <w:sz w:val="24"/>
          <w:szCs w:val="24"/>
        </w:rPr>
        <w:t>c</w:t>
      </w:r>
      <w:r w:rsidRPr="00A13316">
        <w:rPr>
          <w:rFonts w:ascii="Times New Roman" w:hAnsi="Times New Roman"/>
          <w:b/>
          <w:bCs/>
          <w:sz w:val="24"/>
          <w:szCs w:val="24"/>
        </w:rPr>
        <w:t>a</w:t>
      </w:r>
    </w:p>
    <w:p w14:paraId="4DBC4CE8" w14:textId="77777777" w:rsidR="00A13316" w:rsidRDefault="00A13316" w:rsidP="00A13316">
      <w:pPr>
        <w:ind w:firstLine="708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A2656AB" w14:textId="5DB6A644" w:rsidR="00A13316" w:rsidRDefault="00A13316" w:rsidP="00A13316">
      <w:pPr>
        <w:rPr>
          <w:rFonts w:ascii="Times New Roman" w:hAnsi="Times New Roman"/>
        </w:rPr>
      </w:pPr>
      <w:hyperlink r:id="rId5" w:tgtFrame="_new" w:history="1">
        <w:r w:rsidRPr="00A13316">
          <w:rPr>
            <w:rStyle w:val="Hyperlink"/>
            <w:rFonts w:ascii="Times New Roman" w:hAnsi="Times New Roman"/>
            <w:b/>
            <w:bCs/>
            <w:color w:val="auto"/>
          </w:rPr>
          <w:t>Entenda o que são as práticas de ESG</w:t>
        </w:r>
      </w:hyperlink>
      <w:r w:rsidRPr="00A13316">
        <w:rPr>
          <w:rFonts w:ascii="Times New Roman" w:hAnsi="Times New Roman"/>
        </w:rPr>
        <w:br/>
        <w:t xml:space="preserve">SEBRAE. </w:t>
      </w:r>
      <w:r w:rsidRPr="00A13316">
        <w:rPr>
          <w:rFonts w:ascii="Times New Roman" w:hAnsi="Times New Roman"/>
          <w:i/>
          <w:iCs/>
        </w:rPr>
        <w:t>Entenda o que são as práticas de ESG</w:t>
      </w:r>
      <w:r w:rsidRPr="00A13316">
        <w:rPr>
          <w:rFonts w:ascii="Times New Roman" w:hAnsi="Times New Roman"/>
        </w:rPr>
        <w:t xml:space="preserve">. Disponível em: </w:t>
      </w:r>
      <w:hyperlink r:id="rId6" w:tgtFrame="_new" w:history="1">
        <w:r w:rsidRPr="00A13316">
          <w:rPr>
            <w:rStyle w:val="Hyperlink"/>
            <w:rFonts w:ascii="Times New Roman" w:hAnsi="Times New Roman"/>
            <w:color w:val="auto"/>
          </w:rPr>
          <w:t>https://sebrae.com.br/sites/PortalSebrae/artigos/entenda-o-que-sao-as-praticas-de-esg,66c7e3ac39f52810VgnVCM100000d701210aRCRD</w:t>
        </w:r>
      </w:hyperlink>
      <w:r w:rsidRPr="00A13316">
        <w:rPr>
          <w:rFonts w:ascii="Times New Roman" w:hAnsi="Times New Roman"/>
        </w:rPr>
        <w:t xml:space="preserve">. Acesso em: 20 mar. 2026. </w:t>
      </w:r>
    </w:p>
    <w:p w14:paraId="5A6F0E5A" w14:textId="77777777" w:rsidR="00A13316" w:rsidRPr="00A13316" w:rsidRDefault="00A13316" w:rsidP="00A13316">
      <w:pPr>
        <w:rPr>
          <w:rFonts w:ascii="Times New Roman" w:hAnsi="Times New Roman"/>
        </w:rPr>
      </w:pPr>
    </w:p>
    <w:p w14:paraId="163340B1" w14:textId="4B2625D4" w:rsidR="00A13316" w:rsidRDefault="00A13316" w:rsidP="00A13316">
      <w:pPr>
        <w:rPr>
          <w:rFonts w:ascii="Times New Roman" w:hAnsi="Times New Roman"/>
        </w:rPr>
      </w:pPr>
      <w:hyperlink r:id="rId7" w:tgtFrame="_new" w:history="1">
        <w:r w:rsidRPr="00A13316">
          <w:rPr>
            <w:rStyle w:val="Hyperlink"/>
            <w:rFonts w:ascii="Times New Roman" w:hAnsi="Times New Roman"/>
            <w:b/>
            <w:bCs/>
            <w:color w:val="auto"/>
          </w:rPr>
          <w:t>ESG: o que é?</w:t>
        </w:r>
      </w:hyperlink>
      <w:r w:rsidRPr="00A13316">
        <w:rPr>
          <w:rFonts w:ascii="Times New Roman" w:hAnsi="Times New Roman"/>
        </w:rPr>
        <w:br/>
        <w:t xml:space="preserve">CONFEDERAÇÃO NACIONAL DA INDÚSTRIA (CNI). </w:t>
      </w:r>
      <w:r w:rsidRPr="00A13316">
        <w:rPr>
          <w:rFonts w:ascii="Times New Roman" w:hAnsi="Times New Roman"/>
          <w:i/>
          <w:iCs/>
        </w:rPr>
        <w:t xml:space="preserve">ESG: o que </w:t>
      </w:r>
      <w:proofErr w:type="gramStart"/>
      <w:r w:rsidRPr="00A13316">
        <w:rPr>
          <w:rFonts w:ascii="Times New Roman" w:hAnsi="Times New Roman"/>
          <w:i/>
          <w:iCs/>
        </w:rPr>
        <w:t>é?</w:t>
      </w:r>
      <w:r w:rsidRPr="00A13316">
        <w:rPr>
          <w:rFonts w:ascii="Times New Roman" w:hAnsi="Times New Roman"/>
        </w:rPr>
        <w:t>.</w:t>
      </w:r>
      <w:proofErr w:type="gramEnd"/>
      <w:r w:rsidRPr="00A13316">
        <w:rPr>
          <w:rFonts w:ascii="Times New Roman" w:hAnsi="Times New Roman"/>
        </w:rPr>
        <w:t xml:space="preserve"> Disponível em: </w:t>
      </w:r>
      <w:hyperlink r:id="rId8" w:tgtFrame="_new" w:history="1">
        <w:r w:rsidRPr="00A13316">
          <w:rPr>
            <w:rStyle w:val="Hyperlink"/>
            <w:rFonts w:ascii="Times New Roman" w:hAnsi="Times New Roman"/>
            <w:color w:val="auto"/>
          </w:rPr>
          <w:t>https://www.portaldaindustria.com.br/industria-de-a-z/esg-o-que-e/</w:t>
        </w:r>
      </w:hyperlink>
      <w:r w:rsidRPr="00A13316">
        <w:rPr>
          <w:rFonts w:ascii="Times New Roman" w:hAnsi="Times New Roman"/>
        </w:rPr>
        <w:t xml:space="preserve">. Acesso em: 20 mar. 2026. </w:t>
      </w:r>
    </w:p>
    <w:p w14:paraId="26B8C9BC" w14:textId="77777777" w:rsidR="00A13316" w:rsidRPr="00A13316" w:rsidRDefault="00A13316" w:rsidP="00A13316">
      <w:pPr>
        <w:rPr>
          <w:rFonts w:ascii="Times New Roman" w:hAnsi="Times New Roman"/>
        </w:rPr>
      </w:pPr>
    </w:p>
    <w:p w14:paraId="47457847" w14:textId="77777777" w:rsidR="00A13316" w:rsidRPr="00A13316" w:rsidRDefault="00A13316" w:rsidP="00A13316">
      <w:pPr>
        <w:rPr>
          <w:rFonts w:ascii="Times New Roman" w:hAnsi="Times New Roman"/>
        </w:rPr>
      </w:pPr>
      <w:hyperlink r:id="rId9" w:tgtFrame="_new" w:history="1">
        <w:r w:rsidRPr="00A13316">
          <w:rPr>
            <w:rStyle w:val="Hyperlink"/>
            <w:rFonts w:ascii="Times New Roman" w:hAnsi="Times New Roman"/>
            <w:b/>
            <w:bCs/>
            <w:color w:val="auto"/>
          </w:rPr>
          <w:t>ESG (Environmental, Social and Governance) - definição</w:t>
        </w:r>
      </w:hyperlink>
      <w:r w:rsidRPr="00A13316">
        <w:rPr>
          <w:rFonts w:ascii="Times New Roman" w:hAnsi="Times New Roman"/>
        </w:rPr>
        <w:br/>
        <w:t xml:space="preserve">B3. </w:t>
      </w:r>
      <w:r w:rsidRPr="00A13316">
        <w:rPr>
          <w:rFonts w:ascii="Times New Roman" w:hAnsi="Times New Roman"/>
          <w:i/>
          <w:iCs/>
        </w:rPr>
        <w:t xml:space="preserve">ESG (Environmental, Social </w:t>
      </w:r>
      <w:proofErr w:type="spellStart"/>
      <w:r w:rsidRPr="00A13316">
        <w:rPr>
          <w:rFonts w:ascii="Times New Roman" w:hAnsi="Times New Roman"/>
          <w:i/>
          <w:iCs/>
        </w:rPr>
        <w:t>and</w:t>
      </w:r>
      <w:proofErr w:type="spellEnd"/>
      <w:r w:rsidRPr="00A13316">
        <w:rPr>
          <w:rFonts w:ascii="Times New Roman" w:hAnsi="Times New Roman"/>
          <w:i/>
          <w:iCs/>
        </w:rPr>
        <w:t xml:space="preserve"> Governance): o que é, significado e definição</w:t>
      </w:r>
      <w:r w:rsidRPr="00A13316">
        <w:rPr>
          <w:rFonts w:ascii="Times New Roman" w:hAnsi="Times New Roman"/>
        </w:rPr>
        <w:t xml:space="preserve">. Disponível em: </w:t>
      </w:r>
      <w:hyperlink r:id="rId10" w:tgtFrame="_new" w:history="1">
        <w:r w:rsidRPr="00A13316">
          <w:rPr>
            <w:rStyle w:val="Hyperlink"/>
            <w:rFonts w:ascii="Times New Roman" w:hAnsi="Times New Roman"/>
            <w:color w:val="auto"/>
          </w:rPr>
          <w:t>https://borainvestir.b3.com.br/glossario/esg-environmental-social-and-governance/</w:t>
        </w:r>
      </w:hyperlink>
      <w:r w:rsidRPr="00A13316">
        <w:rPr>
          <w:rFonts w:ascii="Times New Roman" w:hAnsi="Times New Roman"/>
        </w:rPr>
        <w:t>. Acesso em: 20 mar. 2026.</w:t>
      </w:r>
    </w:p>
    <w:p w14:paraId="059E339F" w14:textId="77777777" w:rsidR="00A13316" w:rsidRPr="00A13316" w:rsidRDefault="00A13316" w:rsidP="00A13316">
      <w:pPr>
        <w:ind w:firstLine="708"/>
        <w:rPr>
          <w:rFonts w:ascii="Times New Roman" w:hAnsi="Times New Roman"/>
        </w:rPr>
      </w:pPr>
    </w:p>
    <w:p w14:paraId="52E86DAD" w14:textId="77777777" w:rsidR="00A13316" w:rsidRPr="00A13316" w:rsidRDefault="00A13316" w:rsidP="00A13316">
      <w:pPr>
        <w:ind w:firstLine="708"/>
        <w:jc w:val="both"/>
        <w:rPr>
          <w:rFonts w:ascii="Times New Roman" w:hAnsi="Times New Roman"/>
        </w:rPr>
      </w:pPr>
    </w:p>
    <w:sectPr w:rsidR="00A13316" w:rsidRPr="00A13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28"/>
    <w:rsid w:val="00081BF4"/>
    <w:rsid w:val="000F2BFB"/>
    <w:rsid w:val="00277E51"/>
    <w:rsid w:val="002D59CB"/>
    <w:rsid w:val="002E011C"/>
    <w:rsid w:val="0033398B"/>
    <w:rsid w:val="00364737"/>
    <w:rsid w:val="003C2B3B"/>
    <w:rsid w:val="00A13316"/>
    <w:rsid w:val="00BB6B91"/>
    <w:rsid w:val="00C15428"/>
    <w:rsid w:val="00D86B82"/>
    <w:rsid w:val="00DA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4F94"/>
  <w15:chartTrackingRefBased/>
  <w15:docId w15:val="{1F9AD8E7-6238-4E0D-81C4-EA5D80EF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428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5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5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54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5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54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5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5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54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54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54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54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54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1331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3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rtaldaindustria.com.br/industria-de-a-z/esg-o-que-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ortaldaindustria.com.br/industria-de-a-z/esg-o-que-e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brae.com.br/sites/PortalSebrae/artigos/entenda-o-que-sao-as-praticas-de-esg,66c7e3ac39f52810VgnVCM100000d701210aRCR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ebrae.com.br/sites/PortalSebrae/esg?utm_source=chatgpt.com" TargetMode="External"/><Relationship Id="rId10" Type="http://schemas.openxmlformats.org/officeDocument/2006/relationships/hyperlink" Target="https://borainvestir.b3.com.br/glossario/esg-environmental-social-and-governance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borainvestir.b3.com.br/glossario/esg-environmental-social-and-governance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948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7</cp:revision>
  <dcterms:created xsi:type="dcterms:W3CDTF">2026-03-20T14:07:00Z</dcterms:created>
  <dcterms:modified xsi:type="dcterms:W3CDTF">2026-03-20T14:54:00Z</dcterms:modified>
</cp:coreProperties>
</file>