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B1B9D" w14:textId="77777777" w:rsidR="00750348" w:rsidRPr="00894178" w:rsidRDefault="00750348" w:rsidP="00750348">
      <w:pPr>
        <w:spacing w:line="256" w:lineRule="auto"/>
        <w:jc w:val="center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ptos" w:eastAsia="Aptos" w:hAnsi="Aptos" w:cs="Times New Roman"/>
          <w:noProof/>
        </w:rPr>
        <w:drawing>
          <wp:inline distT="0" distB="0" distL="0" distR="0" wp14:anchorId="3466C526" wp14:editId="65A60856">
            <wp:extent cx="2479675" cy="1334770"/>
            <wp:effectExtent l="0" t="0" r="0" b="0"/>
            <wp:docPr id="6" name="Imagem 1" descr="Universidade São Judas - UM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Universidade São Judas - UM BRASI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16B4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37F6A180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0B9E887E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5BE6F24F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45EAA4CE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55C14016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71C4703E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1812FC14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</w:p>
    <w:p w14:paraId="2B5D40FE" w14:textId="45BE8C0E" w:rsidR="00750348" w:rsidRPr="00894178" w:rsidRDefault="00750348" w:rsidP="00750348">
      <w:pPr>
        <w:spacing w:line="256" w:lineRule="auto"/>
        <w:jc w:val="center"/>
        <w:rPr>
          <w:rFonts w:ascii="Arial" w:eastAsia="Aptos" w:hAnsi="Arial" w:cs="Arial"/>
          <w:sz w:val="24"/>
          <w:szCs w:val="24"/>
        </w:rPr>
      </w:pPr>
      <w:r>
        <w:rPr>
          <w:rFonts w:ascii="Arial" w:eastAsia="Aptos" w:hAnsi="Arial" w:cs="Arial"/>
          <w:b/>
          <w:bCs/>
          <w:sz w:val="24"/>
          <w:szCs w:val="24"/>
        </w:rPr>
        <w:t xml:space="preserve">O QUE É E O QUE FAZ A </w:t>
      </w:r>
      <w:r>
        <w:rPr>
          <w:rFonts w:ascii="Arial" w:eastAsia="Aptos" w:hAnsi="Arial" w:cs="Arial"/>
          <w:b/>
          <w:bCs/>
          <w:sz w:val="24"/>
          <w:szCs w:val="24"/>
        </w:rPr>
        <w:t>GRI</w:t>
      </w:r>
      <w:r>
        <w:rPr>
          <w:rFonts w:ascii="Arial" w:eastAsia="Aptos" w:hAnsi="Arial" w:cs="Arial"/>
          <w:b/>
          <w:bCs/>
          <w:sz w:val="24"/>
          <w:szCs w:val="24"/>
        </w:rPr>
        <w:t xml:space="preserve"> – </w:t>
      </w:r>
      <w:r>
        <w:rPr>
          <w:rFonts w:ascii="Arial" w:eastAsia="Aptos" w:hAnsi="Arial" w:cs="Arial"/>
          <w:b/>
          <w:bCs/>
          <w:sz w:val="24"/>
          <w:szCs w:val="24"/>
        </w:rPr>
        <w:t xml:space="preserve">Global </w:t>
      </w:r>
      <w:proofErr w:type="spellStart"/>
      <w:r>
        <w:rPr>
          <w:rFonts w:ascii="Arial" w:eastAsia="Aptos" w:hAnsi="Arial" w:cs="Arial"/>
          <w:b/>
          <w:bCs/>
          <w:sz w:val="24"/>
          <w:szCs w:val="24"/>
        </w:rPr>
        <w:t>Reporting</w:t>
      </w:r>
      <w:proofErr w:type="spellEnd"/>
      <w:r>
        <w:rPr>
          <w:rFonts w:ascii="Arial" w:eastAsia="Aptos" w:hAnsi="Arial" w:cs="Arial"/>
          <w:b/>
          <w:bCs/>
          <w:sz w:val="24"/>
          <w:szCs w:val="24"/>
        </w:rPr>
        <w:t xml:space="preserve"> Initiative</w:t>
      </w:r>
    </w:p>
    <w:p w14:paraId="33930CD1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2B5F7EC6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098F4B66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594C36E2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5BE26A18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80D0D70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47C938AF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0D9077DB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7A52BDB5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5344CEF3" w14:textId="77777777" w:rsidR="0075034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11C42668" w14:textId="77777777" w:rsidR="0075034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2D022D5D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47930A7F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</w:p>
    <w:p w14:paraId="6F068F70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rial" w:eastAsia="Aptos" w:hAnsi="Arial" w:cs="Arial"/>
          <w:b/>
          <w:bCs/>
          <w:sz w:val="24"/>
          <w:szCs w:val="24"/>
        </w:rPr>
        <w:t>UC: Inovação, Sustentabilidade e Competitividade Empresarial.</w:t>
      </w:r>
    </w:p>
    <w:p w14:paraId="69B9ABB4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Aluno: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Pedro Henrique Pires Dos Santos</w:t>
      </w:r>
    </w:p>
    <w:p w14:paraId="12FD0783" w14:textId="77777777" w:rsidR="00750348" w:rsidRPr="00894178" w:rsidRDefault="00750348" w:rsidP="00750348">
      <w:pPr>
        <w:spacing w:line="256" w:lineRule="auto"/>
        <w:rPr>
          <w:rFonts w:ascii="Arial" w:eastAsia="Aptos" w:hAnsi="Arial" w:cs="Arial"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Curso: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Sistemas de informação</w:t>
      </w:r>
    </w:p>
    <w:p w14:paraId="1015EE61" w14:textId="77777777" w:rsidR="00750348" w:rsidRPr="00C0392C" w:rsidRDefault="00750348" w:rsidP="00750348">
      <w:pPr>
        <w:spacing w:line="256" w:lineRule="auto"/>
        <w:rPr>
          <w:rFonts w:ascii="Arial" w:eastAsia="Aptos" w:hAnsi="Arial" w:cs="Arial"/>
          <w:b/>
          <w:bCs/>
          <w:sz w:val="24"/>
          <w:szCs w:val="24"/>
        </w:rPr>
      </w:pPr>
      <w:r w:rsidRPr="00894178">
        <w:rPr>
          <w:rFonts w:ascii="Arial" w:eastAsia="Aptos" w:hAnsi="Arial" w:cs="Arial"/>
          <w:sz w:val="24"/>
          <w:szCs w:val="24"/>
        </w:rPr>
        <w:t xml:space="preserve">Professor: </w:t>
      </w:r>
      <w:r w:rsidRPr="00894178">
        <w:rPr>
          <w:rFonts w:ascii="Arial" w:eastAsia="Aptos" w:hAnsi="Arial" w:cs="Arial"/>
          <w:b/>
          <w:bCs/>
          <w:sz w:val="24"/>
          <w:szCs w:val="24"/>
        </w:rPr>
        <w:t>Robson Calvetti</w:t>
      </w:r>
    </w:p>
    <w:p w14:paraId="138D0D45" w14:textId="3E980AA7" w:rsidR="00750348" w:rsidRPr="00750348" w:rsidRDefault="00750348" w:rsidP="007503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50348">
        <w:rPr>
          <w:rFonts w:ascii="Arial" w:hAnsi="Arial" w:cs="Arial"/>
          <w:b/>
          <w:bCs/>
          <w:sz w:val="24"/>
          <w:szCs w:val="24"/>
        </w:rPr>
        <w:lastRenderedPageBreak/>
        <w:t>O que é a GRI?</w:t>
      </w:r>
    </w:p>
    <w:p w14:paraId="1081F892" w14:textId="583B9E44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 xml:space="preserve">A Global </w:t>
      </w:r>
      <w:proofErr w:type="spellStart"/>
      <w:r w:rsidRPr="00750348">
        <w:rPr>
          <w:rFonts w:ascii="Arial" w:hAnsi="Arial" w:cs="Arial"/>
        </w:rPr>
        <w:t>Reporting</w:t>
      </w:r>
      <w:proofErr w:type="spellEnd"/>
      <w:r w:rsidRPr="00750348">
        <w:rPr>
          <w:rFonts w:ascii="Arial" w:hAnsi="Arial" w:cs="Arial"/>
        </w:rPr>
        <w:t xml:space="preserve"> </w:t>
      </w:r>
      <w:proofErr w:type="spellStart"/>
      <w:r w:rsidRPr="00750348">
        <w:rPr>
          <w:rFonts w:ascii="Arial" w:hAnsi="Arial" w:cs="Arial"/>
        </w:rPr>
        <w:t>Initiative</w:t>
      </w:r>
      <w:proofErr w:type="spellEnd"/>
      <w:r w:rsidRPr="00750348">
        <w:rPr>
          <w:rFonts w:ascii="Arial" w:hAnsi="Arial" w:cs="Arial"/>
        </w:rPr>
        <w:t xml:space="preserve"> (GRI) é uma organização internacional independente, criada em 1997, com o objetivo de desenvolver padrões globais para relatórios de sustentabilidade.</w:t>
      </w:r>
    </w:p>
    <w:p w14:paraId="0E2D4EB4" w14:textId="2D5BF66B" w:rsid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>Sua principal finalidade é promover a transparência organizacional por meio da padronização das informações divulgadas pelas empresas sobre seus impactos econômicos, sociais e ambientais. A GRI tornou-se uma das principais referências mundiais em relatórios de sustentabilidade.</w:t>
      </w:r>
    </w:p>
    <w:p w14:paraId="46E4DFC4" w14:textId="77777777" w:rsidR="00750348" w:rsidRPr="00750348" w:rsidRDefault="00750348" w:rsidP="00750348">
      <w:pPr>
        <w:ind w:firstLine="708"/>
        <w:rPr>
          <w:rFonts w:ascii="Arial" w:hAnsi="Arial" w:cs="Arial"/>
        </w:rPr>
      </w:pPr>
    </w:p>
    <w:p w14:paraId="204B0737" w14:textId="55694AF4" w:rsidR="00750348" w:rsidRPr="00750348" w:rsidRDefault="00750348" w:rsidP="007503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50348">
        <w:rPr>
          <w:rFonts w:ascii="Arial" w:hAnsi="Arial" w:cs="Arial"/>
          <w:b/>
          <w:bCs/>
          <w:sz w:val="24"/>
          <w:szCs w:val="24"/>
        </w:rPr>
        <w:t>O que a GRI faz?</w:t>
      </w:r>
    </w:p>
    <w:p w14:paraId="059925EC" w14:textId="436D49EF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>A GRI desenvolve e atualiza os chamados GRI Standards, que são padrões internacionais utilizados por organizações para elaborar seus relatórios de sustentabilidade.</w:t>
      </w:r>
    </w:p>
    <w:p w14:paraId="2D52B24B" w14:textId="52BA20C0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>Esses padrões estabelecem indicadores específicos relacionados a aspectos ambientais, sociais e econômicos, permitindo que as empresas divulguem informações de forma estruturada e comparável.</w:t>
      </w:r>
    </w:p>
    <w:p w14:paraId="74679F22" w14:textId="4987582A" w:rsidR="00750348" w:rsidRPr="00750348" w:rsidRDefault="00750348" w:rsidP="00750348">
      <w:pPr>
        <w:rPr>
          <w:rFonts w:ascii="Arial" w:hAnsi="Arial" w:cs="Arial"/>
        </w:rPr>
      </w:pPr>
      <w:r w:rsidRPr="00750348">
        <w:rPr>
          <w:rFonts w:ascii="Arial" w:hAnsi="Arial" w:cs="Arial"/>
        </w:rPr>
        <w:t>Além disso, a GRI contribui para:</w:t>
      </w:r>
    </w:p>
    <w:p w14:paraId="4650BFFB" w14:textId="684E2B1B" w:rsidR="00750348" w:rsidRPr="00750348" w:rsidRDefault="00750348" w:rsidP="0075034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A promoção da transparência corporativa, por meio da divulgação estruturada e sistematizada de informações relevantes sobre o desempenho econômico, social e ambiental das organizações;</w:t>
      </w:r>
    </w:p>
    <w:p w14:paraId="4D256D79" w14:textId="52D81441" w:rsidR="00750348" w:rsidRPr="00750348" w:rsidRDefault="00750348" w:rsidP="0075034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O fortalecimento da governança organizacional, ao incentivar práticas de gestão mais responsáveis, éticas e alinhadas aos interesses dos stakeholders;</w:t>
      </w:r>
    </w:p>
    <w:p w14:paraId="1584680B" w14:textId="255126C0" w:rsidR="00750348" w:rsidRPr="00750348" w:rsidRDefault="00750348" w:rsidP="0075034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A padronização das informações divulgadas, garantindo maior consistência, comparabilidade e confiabilidade dos dados apresentados nos relatórios de sustentabilidade;</w:t>
      </w:r>
    </w:p>
    <w:p w14:paraId="2BDF2E82" w14:textId="327BDD42" w:rsidR="00750348" w:rsidRPr="00750348" w:rsidRDefault="00750348" w:rsidP="0075034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A ampliação da comparabilidade entre empresas de diferentes setores e países, possibilitando análises mais precisas por parte de investidores, pesquisadores e demais públicos de interesse.</w:t>
      </w:r>
    </w:p>
    <w:p w14:paraId="49F6CFDC" w14:textId="4ACF52A2" w:rsidR="00750348" w:rsidRDefault="00750348" w:rsidP="00750348">
      <w:pPr>
        <w:ind w:firstLine="360"/>
        <w:rPr>
          <w:rFonts w:ascii="Arial" w:hAnsi="Arial" w:cs="Arial"/>
        </w:rPr>
      </w:pPr>
      <w:r w:rsidRPr="00750348">
        <w:rPr>
          <w:rFonts w:ascii="Arial" w:hAnsi="Arial" w:cs="Arial"/>
        </w:rPr>
        <w:t>Dessa forma, a organização fortalece a responsabilidade empresarial e incentiva práticas sustentáveis em escala global.</w:t>
      </w:r>
    </w:p>
    <w:p w14:paraId="73D5240F" w14:textId="77777777" w:rsidR="00750348" w:rsidRPr="00750348" w:rsidRDefault="00750348" w:rsidP="00750348">
      <w:pPr>
        <w:ind w:firstLine="360"/>
        <w:rPr>
          <w:rFonts w:ascii="Arial" w:hAnsi="Arial" w:cs="Arial"/>
        </w:rPr>
      </w:pPr>
    </w:p>
    <w:p w14:paraId="012BAD21" w14:textId="52D53B60" w:rsidR="00750348" w:rsidRPr="00750348" w:rsidRDefault="00750348" w:rsidP="007503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50348">
        <w:rPr>
          <w:rFonts w:ascii="Arial" w:hAnsi="Arial" w:cs="Arial"/>
          <w:b/>
          <w:bCs/>
          <w:sz w:val="24"/>
          <w:szCs w:val="24"/>
        </w:rPr>
        <w:t>Como funciona o relatório GRI?</w:t>
      </w:r>
    </w:p>
    <w:p w14:paraId="4CC4447F" w14:textId="5953A951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>Para elaborar um relatório conforme a GRI, a empresa deve seguir os padrões estabelecidos pela organização, selecionando os temas considerados materiais (mais relevantes para seus impactos e stakeholders).</w:t>
      </w:r>
    </w:p>
    <w:p w14:paraId="1B3C1749" w14:textId="7993614A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>Os relatórios são geralmente divulgados anualmente e apresentam indicadores quantitativos e qualitativos relacionados às atividades da organização.</w:t>
      </w:r>
    </w:p>
    <w:p w14:paraId="6B561B64" w14:textId="77777777" w:rsidR="00750348" w:rsidRPr="00750348" w:rsidRDefault="00750348" w:rsidP="00750348">
      <w:pPr>
        <w:rPr>
          <w:rFonts w:ascii="Arial" w:hAnsi="Arial" w:cs="Arial"/>
        </w:rPr>
      </w:pPr>
      <w:r w:rsidRPr="00750348">
        <w:rPr>
          <w:rFonts w:ascii="Arial" w:hAnsi="Arial" w:cs="Arial"/>
        </w:rPr>
        <w:t>Entre os principais indicadores divulgados, destacam-se:</w:t>
      </w:r>
    </w:p>
    <w:p w14:paraId="203D0B4D" w14:textId="72E2F2E6" w:rsidR="00750348" w:rsidRPr="00750348" w:rsidRDefault="00750348" w:rsidP="0075034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Emissão de gases de efeito estufa (como CO</w:t>
      </w:r>
      <w:r w:rsidRPr="00750348">
        <w:rPr>
          <w:rFonts w:ascii="Cambria Math" w:hAnsi="Cambria Math" w:cs="Cambria Math"/>
        </w:rPr>
        <w:t>₂</w:t>
      </w:r>
      <w:r w:rsidRPr="00750348">
        <w:rPr>
          <w:rFonts w:ascii="Arial" w:hAnsi="Arial" w:cs="Arial"/>
        </w:rPr>
        <w:t>);</w:t>
      </w:r>
    </w:p>
    <w:p w14:paraId="263FA8D3" w14:textId="38A62464" w:rsidR="00750348" w:rsidRPr="00750348" w:rsidRDefault="00750348" w:rsidP="0075034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Consumo de água e energia;</w:t>
      </w:r>
    </w:p>
    <w:p w14:paraId="5DAE819F" w14:textId="77777777" w:rsidR="00750348" w:rsidRDefault="00750348" w:rsidP="0075034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Gestão de resíduos;</w:t>
      </w:r>
    </w:p>
    <w:p w14:paraId="128B4054" w14:textId="7DB68237" w:rsidR="00750348" w:rsidRPr="00750348" w:rsidRDefault="00750348" w:rsidP="0075034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lastRenderedPageBreak/>
        <w:t>Diversidade e inclusão no ambiente de trabalho;</w:t>
      </w:r>
    </w:p>
    <w:p w14:paraId="55C1796C" w14:textId="77777777" w:rsidR="00750348" w:rsidRPr="00750348" w:rsidRDefault="00750348" w:rsidP="0075034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Condições de trabalho e direitos humanos.</w:t>
      </w:r>
    </w:p>
    <w:p w14:paraId="3731BBF0" w14:textId="77777777" w:rsidR="00750348" w:rsidRPr="00750348" w:rsidRDefault="00750348" w:rsidP="00750348">
      <w:pPr>
        <w:ind w:firstLine="360"/>
        <w:rPr>
          <w:rFonts w:ascii="Arial" w:hAnsi="Arial" w:cs="Arial"/>
        </w:rPr>
      </w:pPr>
      <w:r w:rsidRPr="00750348">
        <w:rPr>
          <w:rFonts w:ascii="Arial" w:hAnsi="Arial" w:cs="Arial"/>
        </w:rPr>
        <w:t>Esse modelo permite que o público compreenda de forma clara o desempenho sustentável da empresa.</w:t>
      </w:r>
    </w:p>
    <w:p w14:paraId="0A03C354" w14:textId="77777777" w:rsidR="00750348" w:rsidRPr="00750348" w:rsidRDefault="00750348" w:rsidP="00750348">
      <w:pPr>
        <w:rPr>
          <w:rFonts w:ascii="Arial" w:hAnsi="Arial" w:cs="Arial"/>
        </w:rPr>
      </w:pPr>
    </w:p>
    <w:p w14:paraId="53DEB08F" w14:textId="2193D330" w:rsidR="00750348" w:rsidRPr="00750348" w:rsidRDefault="00750348" w:rsidP="007503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50348">
        <w:rPr>
          <w:rFonts w:ascii="Arial" w:hAnsi="Arial" w:cs="Arial"/>
          <w:b/>
          <w:bCs/>
          <w:sz w:val="24"/>
          <w:szCs w:val="24"/>
        </w:rPr>
        <w:t>Importância da GRI</w:t>
      </w:r>
    </w:p>
    <w:p w14:paraId="21283CA9" w14:textId="77777777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>A GRI desempenha papel fundamental no fortalecimento da sustentabilidade empresarial ao promover:</w:t>
      </w:r>
    </w:p>
    <w:p w14:paraId="212F5F5F" w14:textId="77777777" w:rsidR="00750348" w:rsidRPr="00750348" w:rsidRDefault="00750348" w:rsidP="0075034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Transparência, por meio da divulgação estruturada de informações;</w:t>
      </w:r>
    </w:p>
    <w:p w14:paraId="5DB2CF98" w14:textId="77777777" w:rsidR="00750348" w:rsidRPr="00750348" w:rsidRDefault="00750348" w:rsidP="0075034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Credibilidade, ao utilizar padrões reconhecidos internacionalmente;</w:t>
      </w:r>
    </w:p>
    <w:p w14:paraId="4A4B6503" w14:textId="77777777" w:rsidR="00750348" w:rsidRPr="00750348" w:rsidRDefault="00750348" w:rsidP="0075034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Confiança dos investidores, que passam a ter dados mais consistentes para análise;</w:t>
      </w:r>
    </w:p>
    <w:p w14:paraId="4238A353" w14:textId="77777777" w:rsidR="00750348" w:rsidRPr="00750348" w:rsidRDefault="00750348" w:rsidP="0075034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Competitividade, pois empresas transparentes tendem a se destacar no mercado.</w:t>
      </w:r>
    </w:p>
    <w:p w14:paraId="1D108417" w14:textId="77777777" w:rsidR="00750348" w:rsidRPr="00750348" w:rsidRDefault="00750348" w:rsidP="00750348">
      <w:pPr>
        <w:ind w:firstLine="360"/>
        <w:rPr>
          <w:rFonts w:ascii="Arial" w:hAnsi="Arial" w:cs="Arial"/>
        </w:rPr>
      </w:pPr>
      <w:r w:rsidRPr="00750348">
        <w:rPr>
          <w:rFonts w:ascii="Arial" w:hAnsi="Arial" w:cs="Arial"/>
        </w:rPr>
        <w:t>Assim, a adoção dos padrões GRI contribui para a consolidação de práticas empresariais responsáveis e alinhadas às demandas contemporâneas da sociedade.</w:t>
      </w:r>
    </w:p>
    <w:p w14:paraId="1DA8272C" w14:textId="77777777" w:rsidR="00750348" w:rsidRPr="00750348" w:rsidRDefault="00750348" w:rsidP="00750348">
      <w:pPr>
        <w:rPr>
          <w:rFonts w:ascii="Arial" w:hAnsi="Arial" w:cs="Arial"/>
        </w:rPr>
      </w:pPr>
    </w:p>
    <w:p w14:paraId="55C3B6A6" w14:textId="3B3DE172" w:rsidR="00750348" w:rsidRPr="00750348" w:rsidRDefault="00750348" w:rsidP="007503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50348">
        <w:rPr>
          <w:rFonts w:ascii="Arial" w:hAnsi="Arial" w:cs="Arial"/>
          <w:b/>
          <w:bCs/>
          <w:sz w:val="24"/>
          <w:szCs w:val="24"/>
        </w:rPr>
        <w:t>Exemplos de empresas que utilizam a GRI</w:t>
      </w:r>
    </w:p>
    <w:p w14:paraId="31EBD846" w14:textId="4FFEA249" w:rsidR="00750348" w:rsidRPr="00750348" w:rsidRDefault="00750348" w:rsidP="00750348">
      <w:pPr>
        <w:ind w:firstLine="708"/>
        <w:rPr>
          <w:rFonts w:ascii="Arial" w:hAnsi="Arial" w:cs="Arial"/>
        </w:rPr>
      </w:pPr>
      <w:r w:rsidRPr="00750348">
        <w:rPr>
          <w:rFonts w:ascii="Arial" w:hAnsi="Arial" w:cs="Arial"/>
        </w:rPr>
        <w:t xml:space="preserve">Diversas organizações de grande porte, tanto no cenário nacional quanto internacional, adotam os padrões estabelecidos pela Global </w:t>
      </w:r>
      <w:proofErr w:type="spellStart"/>
      <w:r w:rsidRPr="00750348">
        <w:rPr>
          <w:rFonts w:ascii="Arial" w:hAnsi="Arial" w:cs="Arial"/>
        </w:rPr>
        <w:t>Reporting</w:t>
      </w:r>
      <w:proofErr w:type="spellEnd"/>
      <w:r w:rsidRPr="00750348">
        <w:rPr>
          <w:rFonts w:ascii="Arial" w:hAnsi="Arial" w:cs="Arial"/>
        </w:rPr>
        <w:t xml:space="preserve"> </w:t>
      </w:r>
      <w:proofErr w:type="spellStart"/>
      <w:r w:rsidRPr="00750348">
        <w:rPr>
          <w:rFonts w:ascii="Arial" w:hAnsi="Arial" w:cs="Arial"/>
        </w:rPr>
        <w:t>Initiative</w:t>
      </w:r>
      <w:proofErr w:type="spellEnd"/>
      <w:r w:rsidRPr="00750348">
        <w:rPr>
          <w:rFonts w:ascii="Arial" w:hAnsi="Arial" w:cs="Arial"/>
        </w:rPr>
        <w:t xml:space="preserve"> para a elaboração de seus relatórios de sustentabilidade. A utilização desses referenciais demonstra o compromisso institucional com a transparência, a responsabilidade socioambiental e a prestação de contas aos stakeholders.</w:t>
      </w:r>
    </w:p>
    <w:p w14:paraId="3FD4D08B" w14:textId="77777777" w:rsidR="00750348" w:rsidRPr="00750348" w:rsidRDefault="00750348" w:rsidP="00750348">
      <w:pPr>
        <w:rPr>
          <w:rFonts w:ascii="Arial" w:hAnsi="Arial" w:cs="Arial"/>
        </w:rPr>
      </w:pPr>
      <w:r w:rsidRPr="00750348">
        <w:rPr>
          <w:rFonts w:ascii="Arial" w:hAnsi="Arial" w:cs="Arial"/>
        </w:rPr>
        <w:t>Destacam-se empresas como:</w:t>
      </w:r>
    </w:p>
    <w:p w14:paraId="61194330" w14:textId="77777777" w:rsidR="00750348" w:rsidRPr="00750348" w:rsidRDefault="00750348" w:rsidP="0075034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Petrobras, que divulga relatórios alinhados às diretrizes da GRI, evidenciando indicadores ambientais, sociais e de governança;</w:t>
      </w:r>
    </w:p>
    <w:p w14:paraId="5044964D" w14:textId="77777777" w:rsidR="00750348" w:rsidRPr="00750348" w:rsidRDefault="00750348" w:rsidP="0075034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Natura, reconhecida por sua atuação voltada à sustentabilidade e pela transparência na divulgação de seus impactos socioambientais;</w:t>
      </w:r>
    </w:p>
    <w:p w14:paraId="273D189D" w14:textId="77777777" w:rsidR="00750348" w:rsidRPr="00750348" w:rsidRDefault="00750348" w:rsidP="0075034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Itaú Unibanco, instituição financeira que utiliza os padrões GRI como referência para a comunicação de suas práticas de governança e responsabilidade corporativa.</w:t>
      </w:r>
    </w:p>
    <w:p w14:paraId="0DBACE90" w14:textId="77777777" w:rsidR="00750348" w:rsidRDefault="00750348" w:rsidP="0075034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A adoção dos padrões da GRI por essas organizações reforça a relevância da padronização internacional na consolidação de práticas empresariais sustentáveis e comparáveis em âmbito global.</w:t>
      </w:r>
    </w:p>
    <w:p w14:paraId="66C5691A" w14:textId="1AA381E4" w:rsidR="002E011C" w:rsidRDefault="00750348" w:rsidP="00750348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750348">
        <w:rPr>
          <w:rFonts w:ascii="Arial" w:hAnsi="Arial" w:cs="Arial"/>
        </w:rPr>
        <w:t>Essas organizações utilizam os padrões da GRI como referência para divulgar suas práticas socioambientais, reforçando seu compromisso com a transparência e a responsabilidade corporativa.</w:t>
      </w:r>
    </w:p>
    <w:p w14:paraId="739C8103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7F5BD148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30E00473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2A85F565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2B2EC0C8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7C16146F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757CF932" w14:textId="77777777" w:rsidR="00750348" w:rsidRDefault="00750348" w:rsidP="00750348">
      <w:pPr>
        <w:pStyle w:val="PargrafodaLista"/>
        <w:rPr>
          <w:rFonts w:ascii="Arial" w:hAnsi="Arial" w:cs="Arial"/>
        </w:rPr>
      </w:pPr>
    </w:p>
    <w:p w14:paraId="466BCC83" w14:textId="5AE86E6E" w:rsidR="00750348" w:rsidRDefault="00750348" w:rsidP="00750348">
      <w:pPr>
        <w:pStyle w:val="PargrafodaLista"/>
        <w:jc w:val="center"/>
        <w:rPr>
          <w:rFonts w:ascii="Arial" w:hAnsi="Arial" w:cs="Arial"/>
          <w:b/>
          <w:bCs/>
          <w:sz w:val="24"/>
          <w:szCs w:val="24"/>
        </w:rPr>
      </w:pPr>
      <w:r w:rsidRPr="00750348">
        <w:rPr>
          <w:rFonts w:ascii="Arial" w:hAnsi="Arial" w:cs="Arial"/>
          <w:b/>
          <w:bCs/>
          <w:sz w:val="24"/>
          <w:szCs w:val="24"/>
        </w:rPr>
        <w:lastRenderedPageBreak/>
        <w:t>REFERÊNCIA BIBLIOGRÁFICA</w:t>
      </w:r>
    </w:p>
    <w:p w14:paraId="1FAD5119" w14:textId="77777777" w:rsidR="00750348" w:rsidRPr="00750348" w:rsidRDefault="00750348" w:rsidP="0075034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E244B62" w14:textId="47159718" w:rsidR="00750348" w:rsidRDefault="00750348" w:rsidP="00750348">
      <w:pPr>
        <w:pStyle w:val="PargrafodaLista"/>
        <w:jc w:val="both"/>
        <w:rPr>
          <w:rFonts w:ascii="Arial" w:hAnsi="Arial" w:cs="Arial"/>
        </w:rPr>
      </w:pPr>
      <w:r w:rsidRPr="00750348">
        <w:rPr>
          <w:rFonts w:ascii="Arial" w:hAnsi="Arial" w:cs="Arial"/>
          <w:lang w:val="en-US"/>
        </w:rPr>
        <w:t xml:space="preserve">GLOBAL REPORTING INITIATIVE (GRI). </w:t>
      </w:r>
      <w:r w:rsidRPr="00750348">
        <w:rPr>
          <w:rFonts w:ascii="Arial" w:hAnsi="Arial" w:cs="Arial"/>
          <w:i/>
          <w:iCs/>
          <w:lang w:val="en-US"/>
        </w:rPr>
        <w:t>Global Reporting Initiative</w:t>
      </w:r>
      <w:r w:rsidRPr="00750348">
        <w:rPr>
          <w:rFonts w:ascii="Arial" w:hAnsi="Arial" w:cs="Arial"/>
          <w:lang w:val="en-US"/>
        </w:rPr>
        <w:t xml:space="preserve">. </w:t>
      </w:r>
      <w:r w:rsidRPr="00750348">
        <w:rPr>
          <w:rFonts w:ascii="Arial" w:hAnsi="Arial" w:cs="Arial"/>
        </w:rPr>
        <w:t xml:space="preserve">Disponível em: </w:t>
      </w:r>
      <w:hyperlink r:id="rId6" w:tgtFrame="_new" w:history="1">
        <w:r w:rsidRPr="00750348">
          <w:rPr>
            <w:rStyle w:val="Hyperlink"/>
            <w:rFonts w:ascii="Arial" w:hAnsi="Arial" w:cs="Arial"/>
          </w:rPr>
          <w:t>https://www.globalreporting.org/</w:t>
        </w:r>
      </w:hyperlink>
      <w:r w:rsidRPr="00750348">
        <w:rPr>
          <w:rFonts w:ascii="Arial" w:hAnsi="Arial" w:cs="Arial"/>
        </w:rPr>
        <w:t xml:space="preserve">. </w:t>
      </w:r>
    </w:p>
    <w:p w14:paraId="0112DCAE" w14:textId="77777777" w:rsidR="00750348" w:rsidRPr="00750348" w:rsidRDefault="00750348" w:rsidP="00750348">
      <w:pPr>
        <w:pStyle w:val="PargrafodaLista"/>
        <w:jc w:val="both"/>
        <w:rPr>
          <w:rFonts w:ascii="Arial" w:hAnsi="Arial" w:cs="Arial"/>
        </w:rPr>
      </w:pPr>
    </w:p>
    <w:p w14:paraId="316CD45B" w14:textId="72B93AE7" w:rsidR="00750348" w:rsidRDefault="00750348" w:rsidP="00750348">
      <w:pPr>
        <w:pStyle w:val="PargrafodaLista"/>
        <w:jc w:val="both"/>
        <w:rPr>
          <w:rFonts w:ascii="Arial" w:hAnsi="Arial" w:cs="Arial"/>
          <w:lang w:val="en-US"/>
        </w:rPr>
      </w:pPr>
      <w:r w:rsidRPr="00750348">
        <w:rPr>
          <w:rFonts w:ascii="Arial" w:hAnsi="Arial" w:cs="Arial"/>
        </w:rPr>
        <w:t xml:space="preserve">LEVY, David L.; BROWN, </w:t>
      </w:r>
      <w:proofErr w:type="spellStart"/>
      <w:r w:rsidRPr="00750348">
        <w:rPr>
          <w:rFonts w:ascii="Arial" w:hAnsi="Arial" w:cs="Arial"/>
        </w:rPr>
        <w:t>Halina</w:t>
      </w:r>
      <w:proofErr w:type="spellEnd"/>
      <w:r w:rsidRPr="00750348">
        <w:rPr>
          <w:rFonts w:ascii="Arial" w:hAnsi="Arial" w:cs="Arial"/>
        </w:rPr>
        <w:t xml:space="preserve"> S.; DE JONG, Martin. </w:t>
      </w:r>
      <w:r w:rsidRPr="00750348">
        <w:rPr>
          <w:rFonts w:ascii="Arial" w:hAnsi="Arial" w:cs="Arial"/>
          <w:lang w:val="en-US"/>
        </w:rPr>
        <w:t xml:space="preserve">Building institutions based on information disclosure: lessons from GRI’s sustainability reporting. </w:t>
      </w:r>
      <w:r w:rsidRPr="00750348">
        <w:rPr>
          <w:rFonts w:ascii="Arial" w:hAnsi="Arial" w:cs="Arial"/>
          <w:i/>
          <w:iCs/>
          <w:lang w:val="en-US"/>
        </w:rPr>
        <w:t>Journal of Cleaner Production</w:t>
      </w:r>
      <w:r w:rsidRPr="00750348">
        <w:rPr>
          <w:rFonts w:ascii="Arial" w:hAnsi="Arial" w:cs="Arial"/>
          <w:lang w:val="en-US"/>
        </w:rPr>
        <w:t xml:space="preserve">, v. 17, n. 6, p. 571–580, 2009. </w:t>
      </w:r>
      <w:proofErr w:type="spellStart"/>
      <w:r w:rsidRPr="00750348">
        <w:rPr>
          <w:rFonts w:ascii="Arial" w:hAnsi="Arial" w:cs="Arial"/>
          <w:lang w:val="en-US"/>
        </w:rPr>
        <w:t>Disponível</w:t>
      </w:r>
      <w:proofErr w:type="spellEnd"/>
      <w:r w:rsidRPr="00750348">
        <w:rPr>
          <w:rFonts w:ascii="Arial" w:hAnsi="Arial" w:cs="Arial"/>
          <w:lang w:val="en-US"/>
        </w:rPr>
        <w:t xml:space="preserve"> </w:t>
      </w:r>
      <w:proofErr w:type="spellStart"/>
      <w:r w:rsidRPr="00750348">
        <w:rPr>
          <w:rFonts w:ascii="Arial" w:hAnsi="Arial" w:cs="Arial"/>
          <w:lang w:val="en-US"/>
        </w:rPr>
        <w:t>em</w:t>
      </w:r>
      <w:proofErr w:type="spellEnd"/>
      <w:r w:rsidRPr="00750348">
        <w:rPr>
          <w:rFonts w:ascii="Arial" w:hAnsi="Arial" w:cs="Arial"/>
          <w:lang w:val="en-US"/>
        </w:rPr>
        <w:t xml:space="preserve">: </w:t>
      </w:r>
      <w:hyperlink r:id="rId7" w:tgtFrame="_new" w:history="1">
        <w:r w:rsidRPr="00750348">
          <w:rPr>
            <w:rStyle w:val="Hyperlink"/>
            <w:rFonts w:ascii="Arial" w:hAnsi="Arial" w:cs="Arial"/>
            <w:lang w:val="en-US"/>
          </w:rPr>
          <w:t>https://www.sciencedirect.com/science/article/abs/pii/S0959652608003211</w:t>
        </w:r>
      </w:hyperlink>
      <w:r w:rsidRPr="00750348">
        <w:rPr>
          <w:rFonts w:ascii="Arial" w:hAnsi="Arial" w:cs="Arial"/>
          <w:lang w:val="en-US"/>
        </w:rPr>
        <w:t xml:space="preserve">. </w:t>
      </w:r>
    </w:p>
    <w:p w14:paraId="22D8D03B" w14:textId="77777777" w:rsidR="00750348" w:rsidRPr="00750348" w:rsidRDefault="00750348" w:rsidP="00750348">
      <w:pPr>
        <w:pStyle w:val="PargrafodaLista"/>
        <w:jc w:val="both"/>
        <w:rPr>
          <w:rFonts w:ascii="Arial" w:hAnsi="Arial" w:cs="Arial"/>
          <w:lang w:val="en-US"/>
        </w:rPr>
      </w:pPr>
    </w:p>
    <w:p w14:paraId="371B7429" w14:textId="22525235" w:rsidR="00750348" w:rsidRPr="00750348" w:rsidRDefault="00750348" w:rsidP="00750348">
      <w:pPr>
        <w:pStyle w:val="PargrafodaLista"/>
        <w:jc w:val="both"/>
        <w:rPr>
          <w:rFonts w:ascii="Arial" w:hAnsi="Arial" w:cs="Arial"/>
        </w:rPr>
      </w:pPr>
      <w:r w:rsidRPr="00750348">
        <w:rPr>
          <w:rFonts w:ascii="Arial" w:hAnsi="Arial" w:cs="Arial"/>
          <w:lang w:val="en-US"/>
        </w:rPr>
        <w:t xml:space="preserve">PORTER, Michael E.; KRAMER, Mark R. Strategy &amp; society: the link between competitive advantage and corporate social responsibility. </w:t>
      </w:r>
      <w:r w:rsidRPr="00750348">
        <w:rPr>
          <w:rFonts w:ascii="Arial" w:hAnsi="Arial" w:cs="Arial"/>
          <w:i/>
          <w:iCs/>
        </w:rPr>
        <w:t>Harvard Business Review</w:t>
      </w:r>
      <w:r w:rsidRPr="00750348">
        <w:rPr>
          <w:rFonts w:ascii="Arial" w:hAnsi="Arial" w:cs="Arial"/>
        </w:rPr>
        <w:t xml:space="preserve">, dez. 2006. Disponível em: </w:t>
      </w:r>
      <w:hyperlink r:id="rId8" w:tgtFrame="_new" w:history="1">
        <w:r w:rsidRPr="00750348">
          <w:rPr>
            <w:rStyle w:val="Hyperlink"/>
            <w:rFonts w:ascii="Arial" w:hAnsi="Arial" w:cs="Arial"/>
          </w:rPr>
          <w:t>https://hbr.org/2006/12/strategy-and-society-the-link-between-competitive-advantage-and-corporate-social-responsibility</w:t>
        </w:r>
      </w:hyperlink>
      <w:r w:rsidRPr="00750348">
        <w:rPr>
          <w:rFonts w:ascii="Arial" w:hAnsi="Arial" w:cs="Arial"/>
        </w:rPr>
        <w:t xml:space="preserve">. </w:t>
      </w:r>
    </w:p>
    <w:p w14:paraId="5F337A75" w14:textId="1E87E336" w:rsidR="00750348" w:rsidRPr="00750348" w:rsidRDefault="00750348" w:rsidP="00750348">
      <w:pPr>
        <w:pStyle w:val="PargrafodaLista"/>
        <w:jc w:val="both"/>
        <w:rPr>
          <w:rFonts w:ascii="Arial" w:hAnsi="Arial" w:cs="Arial"/>
          <w:sz w:val="24"/>
          <w:szCs w:val="24"/>
          <w:lang w:val="en-US"/>
        </w:rPr>
      </w:pPr>
    </w:p>
    <w:sectPr w:rsidR="00750348" w:rsidRPr="007503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EF5"/>
    <w:multiLevelType w:val="hybridMultilevel"/>
    <w:tmpl w:val="D742A0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266DC"/>
    <w:multiLevelType w:val="hybridMultilevel"/>
    <w:tmpl w:val="F21230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E169E"/>
    <w:multiLevelType w:val="hybridMultilevel"/>
    <w:tmpl w:val="07E88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84983"/>
    <w:multiLevelType w:val="hybridMultilevel"/>
    <w:tmpl w:val="4DFE93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118594">
    <w:abstractNumId w:val="1"/>
  </w:num>
  <w:num w:numId="2" w16cid:durableId="1577128140">
    <w:abstractNumId w:val="0"/>
  </w:num>
  <w:num w:numId="3" w16cid:durableId="1714228990">
    <w:abstractNumId w:val="2"/>
  </w:num>
  <w:num w:numId="4" w16cid:durableId="190265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48"/>
    <w:rsid w:val="00081BF4"/>
    <w:rsid w:val="002E011C"/>
    <w:rsid w:val="003C2B3B"/>
    <w:rsid w:val="00750348"/>
    <w:rsid w:val="00C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013B"/>
  <w15:chartTrackingRefBased/>
  <w15:docId w15:val="{5AEDB307-4A6E-4F73-8E52-5207D4B24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0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0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0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0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0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0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0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0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0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0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0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0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0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03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0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03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0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0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0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0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0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0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0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03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03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03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0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03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03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5034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503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br.org/2006/12/strategy-and-society-the-link-between-competitive-advantage-and-corporate-social-responsibili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596526080032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obalreporting.org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862</Words>
  <Characters>4661</Characters>
  <Application>Microsoft Office Word</Application>
  <DocSecurity>0</DocSecurity>
  <Lines>38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pires</dc:creator>
  <cp:keywords/>
  <dc:description/>
  <cp:lastModifiedBy>pedro pires</cp:lastModifiedBy>
  <cp:revision>1</cp:revision>
  <dcterms:created xsi:type="dcterms:W3CDTF">2026-03-05T01:03:00Z</dcterms:created>
  <dcterms:modified xsi:type="dcterms:W3CDTF">2026-03-05T01:14:00Z</dcterms:modified>
</cp:coreProperties>
</file>