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5F6970"/>
          <w:sz w:val="20"/>
          <w:szCs w:val="20"/>
        </w:rPr>
        <w:t xml:space="preserve">Project Development Phase</w:t>
      </w:r>
    </w:p>
    <w:p>
      <w:pPr>
        <w:spacing w:after="160"/>
      </w:pPr>
      <w:r>
        <w:rPr>
          <w:b/>
          <w:bCs/>
          <w:color w:val="1C4C5C"/>
          <w:sz w:val="40"/>
          <w:szCs w:val="40"/>
        </w:rPr>
        <w:t xml:space="preserve">Workflow Automation Verification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Date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16-10-2026</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Team ID</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Individual participant - 323103312152@gvpce.ac.in</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Project Name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Car Rental Request Automation - ServiceNow</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Maximum Marks</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As specified by template</w:t>
            </w:r>
          </w:p>
        </w:tc>
      </w:tr>
    </w:tbl>
    <w:p>
      <w:pPr>
        <w:spacing w:after="160"/>
      </w:pPr>
    </w:p>
    <w:p>
      <w:pPr>
        <w:pStyle w:val="Heading1"/>
      </w:pPr>
      <w:r>
        <w:t xml:space="preserve">Automation Summary</w:t>
      </w:r>
    </w:p>
    <w:p>
      <w:pPr>
        <w:spacing w:after="120" w:before="0" w:line="276"/>
      </w:pPr>
      <w:r>
        <w:t xml:space="preserve">The project uses rule-based ServiceNow configuration: a Flow Designer flow and a server-side Business Rule. No artificial-intelligence model, training pipeline or AI-generated decision is part of it. The verification target is therefore the behaviour of the catalog intake, the approval, the catalog task, the variable retrieval, the email and the exception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4337"/>
        <w:gridCol w:w="3567"/>
      </w:tblGrid>
      <w:tr>
        <w:trPr>
          <w:cantSplit/>
          <w:tblHeader/>
        </w:trPr>
        <w:tc>
          <w:tcPr>
            <w:tcW w:type="dxa" w:w="1734"/>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Area</w:t>
            </w:r>
          </w:p>
        </w:tc>
        <w:tc>
          <w:tcPr>
            <w:tcW w:type="dxa" w:w="4337"/>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Expected behaviour</w:t>
            </w:r>
          </w:p>
        </w:tc>
        <w:tc>
          <w:tcPr>
            <w:tcW w:type="dxa" w:w="3567"/>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Verification evidence to capture</w:t>
            </w:r>
          </w:p>
        </w:tc>
      </w:tr>
      <w:tr>
        <w:trPr>
          <w:cantSplit/>
        </w:trPr>
        <w:tc>
          <w:tcPr>
            <w:tcW w:type="dxa" w:w="1734"/>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Catalog intake</w:t>
            </w:r>
          </w:p>
        </w:tc>
        <w:tc>
          <w:tcPr>
            <w:tcW w:type="dxa" w:w="433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The Car Rental Request item collects Requestor, Requested date, Pickup Location, Drop Location, Duration (hrs), Car Type and Reason1.</w:t>
            </w:r>
          </w:p>
        </w:tc>
        <w:tc>
          <w:tcPr>
            <w:tcW w:type="dxa" w:w="356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Catalog form (Fig 1) and item record (Fig 2).</w:t>
            </w:r>
          </w:p>
        </w:tc>
      </w:tr>
      <w:tr>
        <w:trPr>
          <w:cantSplit/>
        </w:trPr>
        <w:tc>
          <w:tcPr>
            <w:tcW w:type="dxa" w:w="1734"/>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Approval</w:t>
            </w:r>
          </w:p>
        </w:tc>
        <w:tc>
          <w:tcPr>
            <w:tcW w:type="dxa" w:w="433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Ask For Approval on the Requested Item; If Approve continues only when approved.</w:t>
            </w:r>
          </w:p>
        </w:tc>
        <w:tc>
          <w:tcPr>
            <w:tcW w:type="dxa" w:w="356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Approval action (Fig 5); flow overview (Fig 4); RITM approved (Fig 3).</w:t>
            </w:r>
          </w:p>
        </w:tc>
      </w:tr>
      <w:tr>
        <w:trPr>
          <w:cantSplit/>
        </w:trPr>
        <w:tc>
          <w:tcPr>
            <w:tcW w:type="dxa" w:w="1734"/>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Catalog Task</w:t>
            </w:r>
          </w:p>
        </w:tc>
        <w:tc>
          <w:tcPr>
            <w:tcW w:type="dxa" w:w="433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Create Catalog Task on sc_task assigned to the Transport Team.</w:t>
            </w:r>
          </w:p>
        </w:tc>
        <w:tc>
          <w:tcPr>
            <w:tcW w:type="dxa" w:w="356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Figs 6, 7 and the task record (Fig 11).</w:t>
            </w:r>
          </w:p>
        </w:tc>
      </w:tr>
      <w:tr>
        <w:trPr>
          <w:cantSplit/>
        </w:trPr>
        <w:tc>
          <w:tcPr>
            <w:tcW w:type="dxa" w:w="1734"/>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Variable retrieval</w:t>
            </w:r>
          </w:p>
        </w:tc>
        <w:tc>
          <w:tcPr>
            <w:tcW w:type="dxa" w:w="433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Get Catalog Variables reads all seven variables.</w:t>
            </w:r>
          </w:p>
        </w:tc>
        <w:tc>
          <w:tcPr>
            <w:tcW w:type="dxa" w:w="356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Fig 8.</w:t>
            </w:r>
          </w:p>
        </w:tc>
      </w:tr>
      <w:tr>
        <w:trPr>
          <w:cantSplit/>
        </w:trPr>
        <w:tc>
          <w:tcPr>
            <w:tcW w:type="dxa" w:w="1734"/>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Email notification</w:t>
            </w:r>
          </w:p>
        </w:tc>
        <w:tc>
          <w:tcPr>
            <w:tcW w:type="dxa" w:w="433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Send Email with subject Your car request is approved.</w:t>
            </w:r>
          </w:p>
        </w:tc>
        <w:tc>
          <w:tcPr>
            <w:tcW w:type="dxa" w:w="356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Send Email action (Fig 9) and email log (Fig 13).</w:t>
            </w:r>
          </w:p>
        </w:tc>
      </w:tr>
      <w:tr>
        <w:trPr>
          <w:cantSplit/>
        </w:trPr>
        <w:tc>
          <w:tcPr>
            <w:tcW w:type="dxa" w:w="1734"/>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Exception handling</w:t>
            </w:r>
          </w:p>
        </w:tc>
        <w:tc>
          <w:tcPr>
            <w:tcW w:type="dxa" w:w="433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Business Rule creates an incident with request number and requested date.</w:t>
            </w:r>
          </w:p>
        </w:tc>
        <w:tc>
          <w:tcPr>
            <w:tcW w:type="dxa" w:w="356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Business Rule record (Fig 12); incident record not yet evidenced.</w:t>
            </w:r>
          </w:p>
        </w:tc>
      </w:tr>
      <w:tr>
        <w:trPr>
          <w:cantSplit/>
        </w:trPr>
        <w:tc>
          <w:tcPr>
            <w:tcW w:type="dxa" w:w="1734"/>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End to end</w:t>
            </w:r>
          </w:p>
        </w:tc>
        <w:tc>
          <w:tcPr>
            <w:tcW w:type="dxa" w:w="433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All five flow steps complete.</w:t>
            </w:r>
          </w:p>
        </w:tc>
        <w:tc>
          <w:tcPr>
            <w:tcW w:type="dxa" w:w="356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Flow Execution Details (Fig 10).</w:t>
            </w:r>
          </w:p>
        </w:tc>
      </w:tr>
    </w:tbl>
    <w:p>
      <w:pPr>
        <w:keepNext/>
        <w:spacing w:after="60" w:before="120"/>
        <w:jc w:val="center"/>
      </w:pPr>
      <w:r>
        <w:drawing>
          <wp:inline distT="0" distB="0" distL="0" distR="0">
            <wp:extent cx="5486400" cy="2495550"/>
            <wp:effectExtent t="0" r="0" b="0" l="0"/>
            <wp:docPr id="1" name="fig4" descr="Car Rental Req flow in Workflow Studio: Service Catalog trigger and five action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495550"/>
                    </a:xfrm>
                    <a:prstGeom prst="rect">
                      <a:avLst/>
                    </a:prstGeom>
                  </pic:spPr>
                </pic:pic>
              </a:graphicData>
            </a:graphic>
          </wp:inline>
        </w:drawing>
      </w:r>
    </w:p>
    <w:p>
      <w:pPr>
        <w:spacing w:after="200"/>
        <w:jc w:val="center"/>
      </w:pPr>
      <w:r>
        <w:rPr>
          <w:i/>
          <w:iCs/>
          <w:color w:val="5F6970"/>
          <w:sz w:val="18"/>
          <w:szCs w:val="18"/>
        </w:rPr>
        <w:t xml:space="preserve">Figure 4. Car Rental Req flow in Workflow Studio: Service Catalog trigger and five actions.</w:t>
      </w:r>
    </w:p>
    <w:p>
      <w:pPr>
        <w:keepNext/>
        <w:spacing w:after="60" w:before="120"/>
        <w:jc w:val="center"/>
      </w:pPr>
      <w:r>
        <w:drawing>
          <wp:inline distT="0" distB="0" distL="0" distR="0">
            <wp:extent cx="5305425" cy="2495550"/>
            <wp:effectExtent t="0" r="0" b="0" l="0"/>
            <wp:docPr id="1" name="fig5" descr="Ask For Approval on Requested Item: rule Approve, Anyone approves, approver Abel Tute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495550"/>
                    </a:xfrm>
                    <a:prstGeom prst="rect">
                      <a:avLst/>
                    </a:prstGeom>
                  </pic:spPr>
                </pic:pic>
              </a:graphicData>
            </a:graphic>
          </wp:inline>
        </w:drawing>
      </w:r>
    </w:p>
    <w:p>
      <w:pPr>
        <w:spacing w:after="200"/>
        <w:jc w:val="center"/>
      </w:pPr>
      <w:r>
        <w:rPr>
          <w:i/>
          <w:iCs/>
          <w:color w:val="5F6970"/>
          <w:sz w:val="18"/>
          <w:szCs w:val="18"/>
        </w:rPr>
        <w:t xml:space="preserve">Figure 5. Ask For Approval on Requested Item: rule Approve, Anyone approves, approver Abel Tuter.</w:t>
      </w:r>
    </w:p>
    <w:p>
      <w:pPr>
        <w:keepNext/>
        <w:spacing w:after="60" w:before="120"/>
        <w:jc w:val="center"/>
      </w:pPr>
      <w:r>
        <w:drawing>
          <wp:inline distT="0" distB="0" distL="0" distR="0">
            <wp:extent cx="4210050" cy="3152775"/>
            <wp:effectExtent t="0" r="0" b="0" l="0"/>
            <wp:docPr id="1" name="fig8" descr="Get Catalog Variables from Car Rental Request: all seven variables select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3152775"/>
                    </a:xfrm>
                    <a:prstGeom prst="rect">
                      <a:avLst/>
                    </a:prstGeom>
                  </pic:spPr>
                </pic:pic>
              </a:graphicData>
            </a:graphic>
          </wp:inline>
        </w:drawing>
      </w:r>
    </w:p>
    <w:p>
      <w:pPr>
        <w:spacing w:after="200"/>
        <w:jc w:val="center"/>
      </w:pPr>
      <w:r>
        <w:rPr>
          <w:i/>
          <w:iCs/>
          <w:color w:val="5F6970"/>
          <w:sz w:val="18"/>
          <w:szCs w:val="18"/>
        </w:rPr>
        <w:t xml:space="preserve">Figure 8. Get Catalog Variables from Car Rental Request: all seven variables selected.</w:t>
      </w:r>
    </w:p>
    <w:p>
      <w:pPr>
        <w:keepNext/>
        <w:spacing w:after="60" w:before="120"/>
        <w:jc w:val="center"/>
      </w:pPr>
      <w:r>
        <w:drawing>
          <wp:inline distT="0" distB="0" distL="0" distR="0">
            <wp:extent cx="5486400" cy="2466975"/>
            <wp:effectExtent t="0" r="0" b="0" l="0"/>
            <wp:docPr id="1" name="fig12" descr="Business Rule &quot;Create Incident if Car Unavailable&quot; on Requested Item [sc_req_item] with its advanced scrip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466975"/>
                    </a:xfrm>
                    <a:prstGeom prst="rect">
                      <a:avLst/>
                    </a:prstGeom>
                  </pic:spPr>
                </pic:pic>
              </a:graphicData>
            </a:graphic>
          </wp:inline>
        </w:drawing>
      </w:r>
    </w:p>
    <w:p>
      <w:pPr>
        <w:spacing w:after="200"/>
        <w:jc w:val="center"/>
      </w:pPr>
      <w:r>
        <w:rPr>
          <w:i/>
          <w:iCs/>
          <w:color w:val="5F6970"/>
          <w:sz w:val="18"/>
          <w:szCs w:val="18"/>
        </w:rPr>
        <w:t xml:space="preserve">Figure 12. Business Rule "Create Incident if Car Unavailable" on Requested Item [sc_req_item] with its advanced script.</w:t>
      </w:r>
    </w:p>
    <w:p>
      <w:pPr>
        <w:pStyle w:val="Heading1"/>
      </w:pPr>
      <w:r>
        <w:t xml:space="preserve">AI-specific fields from the source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Template field</w:t>
            </w:r>
          </w:p>
        </w:tc>
        <w:tc>
          <w:tcPr>
            <w:tcW w:type="dxa" w:w="6747"/>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Project-specific value</w:t>
            </w:r>
          </w:p>
        </w:tc>
      </w:tr>
      <w:tr>
        <w:trPr>
          <w:cantSplit/>
        </w:trPr>
        <w:tc>
          <w:tcPr>
            <w:tcW w:type="dxa" w:w="2891"/>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Model summary</w:t>
            </w:r>
          </w:p>
        </w:tc>
        <w:tc>
          <w:tcPr>
            <w:tcW w:type="dxa" w:w="674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Not applicable - no AI model is part of this project.</w:t>
            </w:r>
          </w:p>
        </w:tc>
      </w:tr>
      <w:tr>
        <w:trPr>
          <w:cantSplit/>
        </w:trPr>
        <w:tc>
          <w:tcPr>
            <w:tcW w:type="dxa" w:w="2891"/>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Training / validation accuracy</w:t>
            </w:r>
          </w:p>
        </w:tc>
        <w:tc>
          <w:tcPr>
            <w:tcW w:type="dxa" w:w="674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Not applicable - there is no model training or labelled evaluation dataset.</w:t>
            </w:r>
          </w:p>
        </w:tc>
      </w:tr>
      <w:tr>
        <w:trPr>
          <w:cantSplit/>
        </w:trPr>
        <w:tc>
          <w:tcPr>
            <w:tcW w:type="dxa" w:w="2891"/>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Fine-tuning result</w:t>
            </w:r>
          </w:p>
        </w:tc>
        <w:tc>
          <w:tcPr>
            <w:tcW w:type="dxa" w:w="674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Not applicable - no fine-tuning is performed.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C4C5C" w:sz="24"/>
              <w:bottom w:val="none" w:color="FFFFFF" w:sz="0"/>
              <w:right w:val="none" w:color="FFFFFF" w:sz="0"/>
            </w:tcBorders>
            <w:shd w:fill="EAF1F4" w:color="auto" w:val="clear"/>
            <w:tcMar>
              <w:top w:type="dxa" w:w="100"/>
              <w:left w:type="dxa" w:w="180"/>
              <w:bottom w:type="dxa" w:w="100"/>
              <w:right w:type="dxa" w:w="140"/>
            </w:tcMar>
          </w:tcPr>
          <w:p>
            <w:pPr>
              <w:spacing w:after="60"/>
            </w:pPr>
            <w:r>
              <w:rPr>
                <w:b/>
                <w:bCs/>
                <w:color w:val="1C4C5C"/>
                <w:sz w:val="20"/>
                <w:szCs w:val="20"/>
              </w:rPr>
              <w:t xml:space="preserve">Evidence note</w:t>
            </w:r>
          </w:p>
          <w:p>
            <w:pPr>
              <w:spacing w:after="0" w:line="260"/>
            </w:pPr>
            <w:r>
              <w:rPr>
                <w:sz w:val="19"/>
                <w:szCs w:val="19"/>
              </w:rPr>
              <w:t xml:space="preserve">Figure numbers follow the project’s full set of output screenshots (Figs 1 to 14). The flow was inspected in read-only Workflow Studio; the email action input and business-rule When to run tab are not fully visible in the supplied evidence.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970"/>
        <w:sz w:val="16"/>
        <w:szCs w:val="16"/>
      </w:rPr>
      <w:t xml:space="preserve">Car Rental Request Automation - ServiceNow  |  Page </w:t>
    </w:r>
    <w:r>
      <w:rPr>
        <w:color w:val="5F69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C4C5C"/>
      <w:sz w:val="30"/>
      <w:szCs w:val="30"/>
    </w:rPr>
  </w:style>
  <w:style w:type="paragraph" w:styleId="Heading2">
    <w:name w:val="Heading 2"/>
    <w:basedOn w:val="Normal"/>
    <w:next w:val="Normal"/>
    <w:qFormat/>
    <w:pPr>
      <w:keepNext/>
      <w:spacing w:after="110" w:before="240"/>
      <w:outlineLvl w:val="1"/>
    </w:pPr>
    <w:rPr>
      <w:rFonts w:ascii="Arial" w:cs="Arial" w:eastAsia="Arial" w:hAnsi="Arial"/>
      <w:b/>
      <w:bCs/>
      <w:color w:val="1C4C5C"/>
      <w:sz w:val="25"/>
      <w:szCs w:val="25"/>
    </w:rPr>
  </w:style>
  <w:style w:type="paragraph" w:styleId="Heading3">
    <w:name w:val="Heading 3"/>
    <w:basedOn w:val="Normal"/>
    <w:next w:val="Normal"/>
    <w:qFormat/>
    <w:pPr>
      <w:keepNext/>
      <w:spacing w:after="90" w:before="200"/>
      <w:outlineLvl w:val="2"/>
    </w:pPr>
    <w:rPr>
      <w:rFonts w:ascii="Arial" w:cs="Arial" w:eastAsia="Arial" w:hAnsi="Arial"/>
      <w:b/>
      <w:bCs/>
      <w:color w:val="1C4C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c2f916fb0764dbe8b4a39e999db6beeaf46d09a.jpg"/><Relationship Id="rId9" Type="http://schemas.openxmlformats.org/officeDocument/2006/relationships/image" Target="media/616231df0826a2bbd4972bc50033739cfff8e70a.jpg"/><Relationship Id="rId10" Type="http://schemas.openxmlformats.org/officeDocument/2006/relationships/image" Target="media/3aa1f0ac803d4238e146cafa3dd9f5c8017147c8.jpg"/><Relationship Id="rId11" Type="http://schemas.openxmlformats.org/officeDocument/2006/relationships/image" Target="media/bade4777b1bc0638001330f9eeeedaded5b2c337.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01_Automation_and_Client_Logic_Verification.docx</dc:title>
  <dc:creator>Car Rental Request Automation</dc:creator>
  <cp:lastModifiedBy>Un-named</cp:lastModifiedBy>
  <cp:revision>1</cp:revision>
  <dcterms:created xsi:type="dcterms:W3CDTF">2026-10-17T03:07:39.276Z</dcterms:created>
  <dcterms:modified xsi:type="dcterms:W3CDTF">2026-10-17T03:07:39.276Z</dcterms:modified>
</cp:coreProperties>
</file>

<file path=docProps/custom.xml><?xml version="1.0" encoding="utf-8"?>
<Properties xmlns="http://schemas.openxmlformats.org/officeDocument/2006/custom-properties" xmlns:vt="http://schemas.openxmlformats.org/officeDocument/2006/docPropsVTypes"/>
</file>