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Development Phase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Workflow Validation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specified by template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Applicability</w:t>
      </w:r>
    </w:p>
    <w:p>
      <w:pPr>
        <w:spacing w:after="120" w:before="0" w:line="276"/>
      </w:pPr>
      <w:r>
        <w:t xml:space="preserve">The source template asks for machine-learning metrics. This project has no ML model, so MAE, MSE, RMSE, R-squared, confusion matrices, classifier accuracy and hyperparameter tuning do not apply. The equivalent quality evidence is functional correctness of the flow and the integrity of the request records.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 dimension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check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measurement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definition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has seven variables in Transportation Services.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 2.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correctness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continues only when approval is granted.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Approve evaluated True after approval (Fig 10); RITM Approved (Fig 3).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Task routing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 is created for the Transport Team.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Figs 6, 7 and SCTASK0010005 (Fig 11).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Data retrieval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seven variables are retrieved.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 8.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action completes and emails are logged.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Figs 9, 10, 13.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Exception rule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 exists and is active.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 12; execution not yet evidenced.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Packaging</w:t>
            </w:r>
          </w:p>
        </w:tc>
        <w:tc>
          <w:tcPr>
            <w:tcW w:type="dxa" w:w="36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Set migrates without collisions.</w:t>
            </w:r>
          </w:p>
        </w:tc>
        <w:tc>
          <w:tcPr>
            <w:tcW w:type="dxa" w:w="36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 14: 12 inserted, 0 collisions.</w:t>
            </w:r>
          </w:p>
        </w:tc>
      </w:tr>
    </w:tbl>
    <w:p>
      <w:pPr>
        <w:pStyle w:val="Heading1"/>
      </w:pPr>
      <w:r>
        <w:t xml:space="preserve">Metrics from executed tests</w:t>
      </w:r>
    </w:p>
    <w:p>
      <w:pPr>
        <w:spacing w:after="120" w:before="0" w:line="276"/>
      </w:pPr>
      <w:r>
        <w:t xml:space="preserve">Counts come from the nine functional test cases FT-01 to FT-09 in the functional testing document and from the Flow Execution Details record.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240"/>
        <w:gridCol w:w="2893"/>
      </w:tblGrid>
      <w:tr>
        <w:trPr>
          <w:cantSplit/>
          <w:tblHeader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Functional pass rate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Passed test cases / executed test cases x 100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 / 9 = </w:t>
            </w: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Evidence coverage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cases with a screenshot / executed test cases x 100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 / 9 = </w:t>
            </w: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Flow action completion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 or evaluated actions / flow actions x 100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 / 5 = </w:t>
            </w:r>
            <w:r>
              <w:rPr>
                <w:b/>
                <w:bCs/>
                <w:sz w:val="19"/>
                <w:szCs w:val="19"/>
              </w:rPr>
              <w:t xml:space="preserve">100%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 10)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Update Set migration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Records inserted / records in the set x 100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/ 12 = </w:t>
            </w:r>
            <w:r>
              <w:rPr>
                <w:b/>
                <w:bCs/>
                <w:sz w:val="19"/>
                <w:szCs w:val="19"/>
              </w:rPr>
              <w:t xml:space="preserve">100%</w:t>
            </w:r>
            <w:r>
              <w:rPr>
                <w:b w:val="false"/>
                <w:bCs w:val="false"/>
                <w:sz w:val="19"/>
                <w:szCs w:val="19"/>
              </w:rPr>
              <w:t xml:space="preserve">, 0 collisions (Fig 14)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email logging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 with created and approved emails / requests tested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 / 2 (REQ0010001, REQ0010002)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Incident creation success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Incidents created / unavailable-car cases tested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yet measured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Reject-path correctness</w:t>
            </w:r>
          </w:p>
        </w:tc>
        <w:tc>
          <w:tcPr>
            <w:tcW w:type="dxa" w:w="42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requests handled correctly / rejected requests tested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yet measured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C4C5C" w:sz="24"/>
              <w:bottom w:val="none" w:color="FFFFFF" w:sz="0"/>
              <w:right w:val="none" w:color="FFFFFF" w:sz="0"/>
            </w:tcBorders>
            <w:shd w:fill="EAF1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C4C5C"/>
                <w:sz w:val="20"/>
                <w:szCs w:val="20"/>
              </w:rPr>
              <w:t xml:space="preserve">How to read these figures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100% pass rate over nine cases confirms the documented behaviour works for the cases tested. It is not evidence that the reject path, repeated requests or the car-unavailable incident work; those are listed as pending in the UAT documents.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486400" cy="2543175"/>
            <wp:effectExtent t="0" r="0" b="0" l="0"/>
            <wp:docPr id="1" name="fig10" descr="Flow Execution Details: Test Run - Completed on 2026-10-12 (1672 ms); all five steps completed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10. Flow Execution Details: Test Run - Completed on 2026-10-12 (1672 ms); all five steps completed.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fig14" descr="Retrieved Update Set &quot;Car Rental Request Setup&quot;: State Committed, 12 records inserted, 0 collisions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14. Retrieved Update Set "Car Rental Request Setup": State Committed, 12 records inserted, 0 collisions.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b55a881cd835c2f7d8b11a3a07a50b3ef976c1.jpg"/><Relationship Id="rId9" Type="http://schemas.openxmlformats.org/officeDocument/2006/relationships/image" Target="media/0c0075d4730f0c66c72a94ef13292a86297bcbd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03_Workflow_Validation_Metrics.docx</dc:title>
  <dc:creator>Car Rental Request Automation</dc:creator>
  <cp:lastModifiedBy>Un-named</cp:lastModifiedBy>
  <cp:revision>1</cp:revision>
  <dcterms:created xsi:type="dcterms:W3CDTF">2026-10-17T03:07:39.411Z</dcterms:created>
  <dcterms:modified xsi:type="dcterms:W3CDTF">2026-10-17T03:07:39.411Z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