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tbl>
      <w:tblPr>
        <w:tblStyle w:val="Table1"/>
        <w:tblW w:w="8675.0" w:type="dxa"/>
        <w:jc w:val="left"/>
        <w:tblInd w:w="-28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874"/>
        <w:gridCol w:w="992"/>
        <w:gridCol w:w="2420"/>
        <w:gridCol w:w="4389"/>
        <w:tblGridChange w:id="0">
          <w:tblGrid>
            <w:gridCol w:w="874"/>
            <w:gridCol w:w="992"/>
            <w:gridCol w:w="2420"/>
            <w:gridCol w:w="438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7"/>
                <w:szCs w:val="24"/>
                <w:rtl w:val="0"/>
              </w:rPr>
              <w:t xml:space="preserve">Controle de Versões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7"/>
                <w:szCs w:val="24"/>
                <w:rtl w:val="0"/>
              </w:rPr>
              <w:t xml:space="preserve">Versão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7"/>
                <w:szCs w:val="24"/>
                <w:rtl w:val="0"/>
              </w:rPr>
              <w:t xml:space="preserve">Data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7"/>
                <w:szCs w:val="24"/>
                <w:rtl w:val="0"/>
              </w:rPr>
              <w:t xml:space="preserve">Autor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7"/>
                <w:szCs w:val="24"/>
                <w:rtl w:val="0"/>
              </w:rPr>
              <w:t xml:space="preserve">Notas da Revisão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>
              <w:rPr>
                <w:sz w:val="17"/>
              </w:rPr>
              <w:t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>
              <w:rPr>
                <w:sz w:val="15"/>
              </w:rPr>
              <w:t>21/08/2026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>
              <w:rPr>
                <w:sz w:val="17"/>
              </w:rPr>
              <w:t>Diego Pires Aragão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>
              <w:rPr>
                <w:sz w:val="15"/>
              </w:rPr>
              <w:t>Elaboração inicial do TAP P&amp;D Connect.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>
              <w:rPr>
                <w:sz w:val="17"/>
              </w:rPr>
              <w:t>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>
              <w:rPr>
                <w:sz w:val="15"/>
              </w:rPr>
              <w:t>28/08/2026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>
              <w:rPr>
                <w:sz w:val="17"/>
              </w:rPr>
              <w:t>Lucas Pianca Soares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>
              <w:rPr>
                <w:sz w:val="15"/>
              </w:rPr>
              <w:t>Revisão do TAP após consolidação do tema, definição da AC2 Microbiologia como cliente real e atualização do escopo de IA.</w:t>
            </w:r>
          </w:p>
        </w:tc>
      </w:tr>
    </w:tbl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deste documento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>
        <w:rPr>
          <w:sz w:val="19"/>
        </w:rPr>
        <w:t>Autorizar o início do projeto, atribuir principais responsáveis e descrever de forma clara requisitos iniciais, principais entregas, premissas e restrições do projeto.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Situação atual e justificativa do projeto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sz w:val="19"/>
        </w:rPr>
        <w:t>Empresas podem identificar problemas ou oportunidades de inovação sem possuir equipe científica, conhecimento especializado ou estrutura própria de Pesquisa e Desenvolvimento suficiente para transformá-los em projetos de pesquisa. Essa limitação é especialmente relevante para empresas de menor porte, que podem ter maior dificuldade para acessar pesquisadores, infraestrutura científica e mecanismos de fomento. Paralelamente, a própria AC2 Microbiologia possui um Núcleo de P&amp;D no qual podem surgir ideias de novos ensaios, produtos, processos, tecnologias e pesquisas que precisam ser amadurecidas antes da execução.</w:t>
        <w:br/>
        <w:br/>
        <w:t>O P&amp;D Connect será desenvolvido para o Núcleo de Pesquisa e Desenvolvimento da AC2 Microbiologia, cliente real do projeto. A plataforma apoiará dois tipos de entrada: problemas ou desafios apresentados por empresas e organizações externas; e ideias internas cadastradas pela própria AC2. A solução utilizará Inteligência Artificial para apoiar a estruturação científica da oportunidade, identificar lacunas, levantar competências necessárias e realizar matching com pesquisadores, colaboradores e supervisores previamente cadastrados e validados pela AC2.</w:t>
        <w:br/>
        <w:br/>
        <w:t>O sistema também realizará uma pré-análise de maturidade orientada inicialmente ao PIPE/FAPESP, apresentando pontos fortes, lacunas e recomendações de melhoria. A IA terá caráter de apoio: a validação da equipe e a decisão de continuidade permanecerão sob responsabilidade do Núcleo de P&amp;D da AC2, e qualquer avaliação oficial de fomento continuará sendo responsabilidade da instituição competente. A proposta se relaciona à ODS 9 - Indústria, Inovação e Infraestrutura, ao incentivar pesquisa aplicada, desenvolvimento tecnológico, inovação e aproximação entre empresas e infraestrutura científica.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SMART e critérios de sucesso do projeto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sz w:val="19"/>
        </w:rPr>
        <w:t>Specific (Específico): desenvolver um MVP web do P&amp;D Connect capaz de estruturar problemas e ideias de P&amp;D com apoio de IA, identificar competências necessárias, realizar matching com a rede interna da AC2 e executar uma pré-análise de maturidade orientada ao PIPE/FAPESP.</w:t>
        <w:br/>
        <w:br/>
        <w:t>Measurable (Mensurável): disponibilizar os fluxos críticos integrados e demonstráveis; obter pelo menos 80% de aprovação dos cenários críticos nos testes de aceitação; e alcançar pelo menos 80% de pertinência nas sugestões de matching avaliadas em uma amostra de validação definida com o cliente.</w:t>
        <w:br/>
        <w:br/>
        <w:t>Assignable (Atribuível): execução pela equipe do Projeto Interdisciplinar - Charles Pereira dos Santos, Diego Pires Aragão, Lucas Pianca Soares, Quéren-Hapuque de Deus Alves e Renato Pires Filogenio -, com Lucas Pianca Soares como Product Owner, orientação dos professores responsáveis e validação da AC2 Microbiologia.</w:t>
        <w:br/>
        <w:br/>
        <w:t>Realistic (Realístico): desenvolver o produto como MVP acadêmico utilizando Python, Django/Django REST Framework e PostgreSQL, limitando o matching à rede previamente cadastrada da AC2 e adotando inicialmente apenas o PIPE/FAPESP como referência de fomento.</w:t>
        <w:br/>
        <w:br/>
        <w:t>Time-related (Temporal): concluir o MVP funcional, testes de aceitação e documentação até dezembro de 2026, conforme o calendário do Projeto Interdisciplinar.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sz w:val="19"/>
        </w:rPr>
        <w:t>Critérios de sucesso: front-end e back-end integrados; cadastro de oportunidade, Copiloto IA, identificação de competências, matching de pesquisadores/supervisores e pré-análise demonstráveis; mínimo de 80% dos cenários críticos aprovados; mínimo de 80% de pertinência do matching na amostra de validação; operações convencionais com resposta de até 3 segundos no ambiente de testes, desconsiderando o tempo de serviços externos de IA; código versionado e documentado no GitHub; e validação final pela AC2 e pela banca acadêmica.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Produtos e principais requisitos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sz w:val="19"/>
        </w:rPr>
        <w:t>Produto: plataforma web P&amp;D Connect, com API REST, front-end próprio e banco de dados PostgreSQL, destinada ao Núcleo de P&amp;D da AC2 Microbiologia.</w:t>
        <w:br/>
        <w:br/>
        <w:t>Principais requisitos do MVP:</w:t>
        <w:br/>
        <w:t>• RF01 - Cadastrar e gerenciar oportunidades de P&amp;D, classificadas como problema externo ou ideia interna.</w:t>
        <w:br/>
        <w:t>• RF02 - Cadastrar e gerenciar pesquisadores, colaboradores e supervisores da rede interna da AC2.</w:t>
        <w:br/>
        <w:t>• RF03 - Manter formação, titulação, experiência, linhas de pesquisa, competências, técnicas dominadas e disponibilidade nos perfis.</w:t>
        <w:br/>
        <w:t>• RF04 - Disponibilizar Copiloto de IA para apoiar a estruturação de problema, hipótese, objetivos, metodologia, resultados esperados, inovação, infraestrutura e recursos.</w:t>
        <w:br/>
        <w:t>• RF05 - Identificar lacunas de informação e competências científicas/técnicas necessárias à oportunidade.</w:t>
        <w:br/>
        <w:t>• RF06 - Realizar matching entre as competências necessárias e os pesquisadores/colaboradores cadastrados.</w:t>
        <w:br/>
        <w:t>• RF07 - Realizar matching de supervisores com qualificação acadêmica e técnica compatível, especialmente mestres e doutores.</w:t>
        <w:br/>
        <w:t>• RF08 - Sugerir composição potencial da equipe e indicar competências ausentes na rede.</w:t>
        <w:br/>
        <w:t>• RF09 - Executar pré-análise de maturidade orientada inicialmente ao PIPE/FAPESP.</w:t>
        <w:br/>
        <w:t>• RF10 - Apresentar lacunas e recomendações e permitir nova análise após a evolução da proposta.</w:t>
        <w:br/>
        <w:t>• RF11 - Permitir ao Núcleo de P&amp;D avaliar a oportunidade, ajustar/validar a equipe e registrar decisão de continuidade.</w:t>
        <w:br/>
        <w:t>• RF12 - Manter histórico e rastreabilidade da evolução da oportunidade.</w:t>
        <w:br/>
        <w:t>• RF13 - Disponibilizar autenticação e controle de acesso por perfil.</w:t>
        <w:br/>
        <w:t>• RF14 - Disponibilizar painel de acompanhamento das oportunidades.</w:t>
        <w:br/>
        <w:br/>
        <w:t>Requisitos não funcionais principais: segurança e proteção de dados conforme LGPD; controle de acesso; manutenibilidade e versionamento no GitHub; back-end em Python/Django; API REST; PostgreSQL; desempenho adequado nas operações convencionais; e rastreabilidade das recomendações geradas pelos módulos de IA.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Marcos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tbl>
      <w:tblPr>
        <w:tblStyle w:val="Table2"/>
        <w:tblW w:w="9288.0" w:type="dxa"/>
        <w:jc w:val="left"/>
        <w:tblInd w:w="-115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7488"/>
        <w:gridCol w:w="1800"/>
        <w:tblGridChange w:id="0">
          <w:tblGrid>
            <w:gridCol w:w="7488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17"/>
                <w:szCs w:val="24"/>
                <w:rtl w:val="0"/>
              </w:rPr>
              <w:t xml:space="preserve">Marcos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17"/>
                <w:szCs w:val="24"/>
                <w:rtl w:val="0"/>
              </w:rPr>
              <w:t xml:space="preserve">Previsão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>
              <w:rPr>
                <w:sz w:val="17"/>
              </w:rPr>
              <w:t>Consolidação do tema, cliente real e TAP revisado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17"/>
              </w:rPr>
              <w:t>Ago/2026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>
              <w:rPr>
                <w:sz w:val="17"/>
              </w:rPr>
              <w:t>Levantamento e validação de requisitos com a AC2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17"/>
              </w:rPr>
              <w:t>Ago-Set/2026</w:t>
            </w:r>
          </w:p>
        </w:tc>
      </w:tr>
      <w:tr>
        <w:tc>
          <w:tcPr/>
          <w:p>
            <w:r>
              <w:rPr>
                <w:sz w:val="17"/>
              </w:rPr>
              <w:t>Modelagem do sistema e arquitetura do MVP</w:t>
            </w:r>
          </w:p>
        </w:tc>
        <w:tc>
          <w:tcPr>
            <w:vAlign w:val="center"/>
          </w:tcPr>
          <w:p>
            <w:r>
              <w:rPr>
                <w:sz w:val="17"/>
              </w:rPr>
              <w:t>Set/2026</w:t>
            </w:r>
          </w:p>
        </w:tc>
      </w:tr>
      <w:tr>
        <w:tc>
          <w:tcPr/>
          <w:p>
            <w:r>
              <w:rPr>
                <w:sz w:val="17"/>
              </w:rPr>
              <w:t>Prototipação e validação dos fluxos críticos</w:t>
            </w:r>
          </w:p>
        </w:tc>
        <w:tc>
          <w:tcPr>
            <w:vAlign w:val="center"/>
          </w:tcPr>
          <w:p>
            <w:r>
              <w:rPr>
                <w:sz w:val="17"/>
              </w:rPr>
              <w:t>Set/2026</w:t>
            </w:r>
          </w:p>
        </w:tc>
      </w:tr>
      <w:tr>
        <w:tc>
          <w:tcPr/>
          <w:p>
            <w:r>
              <w:rPr>
                <w:sz w:val="17"/>
              </w:rPr>
              <w:t>Desenvolvimento da base web, autenticação e cadastros</w:t>
            </w:r>
          </w:p>
        </w:tc>
        <w:tc>
          <w:tcPr>
            <w:vAlign w:val="center"/>
          </w:tcPr>
          <w:p>
            <w:r>
              <w:rPr>
                <w:sz w:val="17"/>
              </w:rPr>
              <w:t>Set-Out/2026</w:t>
            </w:r>
          </w:p>
        </w:tc>
      </w:tr>
      <w:tr>
        <w:tc>
          <w:tcPr/>
          <w:p>
            <w:r>
              <w:rPr>
                <w:sz w:val="17"/>
              </w:rPr>
              <w:t>Implementação do Copiloto de estruturação por IA</w:t>
            </w:r>
          </w:p>
        </w:tc>
        <w:tc>
          <w:tcPr>
            <w:vAlign w:val="center"/>
          </w:tcPr>
          <w:p>
            <w:r>
              <w:rPr>
                <w:sz w:val="17"/>
              </w:rPr>
              <w:t>Out/2026</w:t>
            </w:r>
          </w:p>
        </w:tc>
      </w:tr>
      <w:tr>
        <w:tc>
          <w:tcPr/>
          <w:p>
            <w:r>
              <w:rPr>
                <w:sz w:val="17"/>
              </w:rPr>
              <w:t>Implementação do matching de pesquisadores e supervisores</w:t>
            </w:r>
          </w:p>
        </w:tc>
        <w:tc>
          <w:tcPr>
            <w:vAlign w:val="center"/>
          </w:tcPr>
          <w:p>
            <w:r>
              <w:rPr>
                <w:sz w:val="17"/>
              </w:rPr>
              <w:t>Out-Nov/2026</w:t>
            </w:r>
          </w:p>
        </w:tc>
      </w:tr>
      <w:tr>
        <w:tc>
          <w:tcPr/>
          <w:p>
            <w:r>
              <w:rPr>
                <w:sz w:val="17"/>
              </w:rPr>
              <w:t>Implementação da pré-análise PIPE/FAPESP</w:t>
            </w:r>
          </w:p>
        </w:tc>
        <w:tc>
          <w:tcPr>
            <w:vAlign w:val="center"/>
          </w:tcPr>
          <w:p>
            <w:r>
              <w:rPr>
                <w:sz w:val="17"/>
              </w:rPr>
              <w:t>Nov/2026</w:t>
            </w:r>
          </w:p>
        </w:tc>
      </w:tr>
      <w:tr>
        <w:tc>
          <w:tcPr/>
          <w:p>
            <w:r>
              <w:rPr>
                <w:sz w:val="17"/>
              </w:rPr>
              <w:t>Integração e testes técnicos do MVP</w:t>
            </w:r>
          </w:p>
        </w:tc>
        <w:tc>
          <w:tcPr>
            <w:vAlign w:val="center"/>
          </w:tcPr>
          <w:p>
            <w:r>
              <w:rPr>
                <w:sz w:val="17"/>
              </w:rPr>
              <w:t>Nov/2026</w:t>
            </w:r>
          </w:p>
        </w:tc>
      </w:tr>
      <w:tr>
        <w:tc>
          <w:tcPr/>
          <w:p>
            <w:r>
              <w:rPr>
                <w:sz w:val="17"/>
              </w:rPr>
              <w:t>Testes de aceitação e validação com a AC2</w:t>
            </w:r>
          </w:p>
        </w:tc>
        <w:tc>
          <w:tcPr>
            <w:vAlign w:val="center"/>
          </w:tcPr>
          <w:p>
            <w:r>
              <w:rPr>
                <w:sz w:val="17"/>
              </w:rPr>
              <w:t>Nov-Dez/2026</w:t>
            </w:r>
          </w:p>
        </w:tc>
      </w:tr>
      <w:tr>
        <w:tc>
          <w:tcPr/>
          <w:p>
            <w:r>
              <w:rPr>
                <w:sz w:val="17"/>
              </w:rPr>
              <w:t>Entrega final, documentação e apresentação</w:t>
            </w:r>
          </w:p>
        </w:tc>
        <w:tc>
          <w:tcPr>
            <w:vAlign w:val="center"/>
          </w:tcPr>
          <w:p>
            <w:r>
              <w:rPr>
                <w:sz w:val="17"/>
              </w:rPr>
              <w:t>Dez/2026</w:t>
            </w:r>
          </w:p>
        </w:tc>
      </w:tr>
    </w:tbl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Partes interessadas do Projeto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sz w:val="19"/>
        </w:rPr>
        <w:t>A tabela abaixo relaciona as principais partes interessadas do projeto. O nível de autoridade e interesse foi incorporado à descrição da função para preservar o modelo original do TAP: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tbl>
      <w:tblPr>
        <w:tblStyle w:val="Table3"/>
        <w:tblW w:w="853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4236"/>
        <w:gridCol w:w="2882"/>
        <w:tblGridChange w:id="0">
          <w:tblGrid>
            <w:gridCol w:w="1418"/>
            <w:gridCol w:w="4236"/>
            <w:gridCol w:w="2882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szCs w:val="24"/>
                <w:rtl w:val="0"/>
              </w:rPr>
              <w:t xml:space="preserve">Empresa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szCs w:val="24"/>
                <w:rtl w:val="0"/>
              </w:rPr>
              <w:t xml:space="preserve">Participante (RA/Nome)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szCs w:val="24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tvopjm7p812f" w:id="0"/>
            <w:bookmarkEnd w:id="0"/>
            <w:r>
              <w:rPr>
                <w:sz w:val="17"/>
              </w:rPr>
              <w:t>FHO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sz w:val="17"/>
              </w:rPr>
              <w:t>116442 - Charles Pereira dos Santos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sz w:val="17"/>
              </w:rPr>
              <w:t>Arquiteto de Software - autoridade média / interesse alto.</w:t>
            </w:r>
          </w:p>
        </w:tc>
      </w:tr>
      <w:tr>
        <w:tc>
          <w:tcPr/>
          <w:p>
            <w:r>
              <w:rPr>
                <w:sz w:val="17"/>
              </w:rPr>
              <w:t>FHO</w:t>
            </w:r>
          </w:p>
        </w:tc>
        <w:tc>
          <w:tcPr/>
          <w:p>
            <w:r>
              <w:rPr>
                <w:sz w:val="17"/>
              </w:rPr>
              <w:t>116338 - Diego Pires Aragão</w:t>
            </w:r>
          </w:p>
        </w:tc>
        <w:tc>
          <w:tcPr/>
          <w:p>
            <w:r>
              <w:rPr>
                <w:sz w:val="17"/>
              </w:rPr>
              <w:t>Front-end/Back-end - autoridade média / interesse alto.</w:t>
            </w:r>
          </w:p>
        </w:tc>
      </w:tr>
      <w:tr>
        <w:tc>
          <w:tcPr/>
          <w:p>
            <w:r>
              <w:rPr>
                <w:sz w:val="17"/>
              </w:rPr>
              <w:t>FHO</w:t>
            </w:r>
          </w:p>
        </w:tc>
        <w:tc>
          <w:tcPr/>
          <w:p>
            <w:r>
              <w:rPr>
                <w:sz w:val="17"/>
              </w:rPr>
              <w:t>116835 - Lucas Pianca Soares</w:t>
            </w:r>
          </w:p>
        </w:tc>
        <w:tc>
          <w:tcPr/>
          <w:p>
            <w:r>
              <w:rPr>
                <w:sz w:val="17"/>
              </w:rPr>
              <w:t>Product Owner - autoridade alta / interesse alto; prioriza o produto e representa as necessidades do cliente.</w:t>
            </w:r>
          </w:p>
        </w:tc>
      </w:tr>
      <w:tr>
        <w:tc>
          <w:tcPr/>
          <w:p>
            <w:r>
              <w:rPr>
                <w:sz w:val="17"/>
              </w:rPr>
              <w:t>FHO</w:t>
            </w:r>
          </w:p>
        </w:tc>
        <w:tc>
          <w:tcPr/>
          <w:p>
            <w:r>
              <w:rPr>
                <w:sz w:val="17"/>
              </w:rPr>
              <w:t>116528 - Quéren-Hapuque de Deus Alves</w:t>
            </w:r>
          </w:p>
        </w:tc>
        <w:tc>
          <w:tcPr/>
          <w:p>
            <w:r>
              <w:rPr>
                <w:sz w:val="17"/>
              </w:rPr>
              <w:t>Engenharia de IA - autoridade média / interesse alto.</w:t>
            </w:r>
          </w:p>
        </w:tc>
      </w:tr>
      <w:tr>
        <w:tc>
          <w:tcPr/>
          <w:p>
            <w:r>
              <w:rPr>
                <w:sz w:val="17"/>
              </w:rPr>
              <w:t>FHO</w:t>
            </w:r>
          </w:p>
        </w:tc>
        <w:tc>
          <w:tcPr/>
          <w:p>
            <w:r>
              <w:rPr>
                <w:sz w:val="17"/>
              </w:rPr>
              <w:t>116465 - Renato Pires Filogenio</w:t>
            </w:r>
          </w:p>
        </w:tc>
        <w:tc>
          <w:tcPr/>
          <w:p>
            <w:r>
              <w:rPr>
                <w:sz w:val="17"/>
              </w:rPr>
              <w:t>QA / Scrum Master - autoridade média / interesse alto.</w:t>
            </w:r>
          </w:p>
        </w:tc>
      </w:tr>
      <w:tr>
        <w:tc>
          <w:tcPr/>
          <w:p>
            <w:r>
              <w:rPr>
                <w:sz w:val="17"/>
              </w:rPr>
              <w:t>AC2 Microbiologia</w:t>
            </w:r>
          </w:p>
        </w:tc>
        <w:tc>
          <w:tcPr/>
          <w:p>
            <w:r>
              <w:rPr>
                <w:sz w:val="17"/>
              </w:rPr>
              <w:t>Representante do Núcleo de P&amp;D</w:t>
            </w:r>
          </w:p>
        </w:tc>
        <w:tc>
          <w:tcPr/>
          <w:p>
            <w:r>
              <w:rPr>
                <w:sz w:val="17"/>
              </w:rPr>
              <w:t>Cliente real e validador de negócio - autoridade alta / interesse alto.</w:t>
            </w:r>
          </w:p>
        </w:tc>
      </w:tr>
      <w:tr>
        <w:tc>
          <w:tcPr/>
          <w:p>
            <w:r>
              <w:rPr>
                <w:sz w:val="17"/>
              </w:rPr>
              <w:t>FHO</w:t>
            </w:r>
          </w:p>
        </w:tc>
        <w:tc>
          <w:tcPr/>
          <w:p>
            <w:r>
              <w:rPr>
                <w:sz w:val="17"/>
              </w:rPr>
              <w:t>Professor(a) Orientador(a)</w:t>
            </w:r>
          </w:p>
        </w:tc>
        <w:tc>
          <w:tcPr/>
          <w:p>
            <w:r>
              <w:rPr>
                <w:sz w:val="17"/>
              </w:rPr>
              <w:t>Orientação e avaliação acadêmica - autoridade alta / interesse alto.</w:t>
            </w:r>
          </w:p>
        </w:tc>
      </w:tr>
      <w:tr>
        <w:tc>
          <w:tcPr/>
          <w:p>
            <w:r>
              <w:rPr>
                <w:sz w:val="17"/>
              </w:rPr>
              <w:t>AC2 / Empresas</w:t>
            </w:r>
          </w:p>
        </w:tc>
        <w:tc>
          <w:tcPr/>
          <w:p>
            <w:r>
              <w:rPr>
                <w:sz w:val="17"/>
              </w:rPr>
              <w:t>Empresas ou organizações demandantes</w:t>
            </w:r>
          </w:p>
        </w:tc>
        <w:tc>
          <w:tcPr/>
          <w:p>
            <w:r>
              <w:rPr>
                <w:sz w:val="17"/>
              </w:rPr>
              <w:t>Apresentam problemas/desafios de P&amp;D - autoridade baixa / interesse alto.</w:t>
            </w:r>
          </w:p>
        </w:tc>
      </w:tr>
      <w:tr>
        <w:tc>
          <w:tcPr/>
          <w:p>
            <w:r>
              <w:rPr>
                <w:sz w:val="17"/>
              </w:rPr>
              <w:t>AC2</w:t>
            </w:r>
          </w:p>
        </w:tc>
        <w:tc>
          <w:tcPr/>
          <w:p>
            <w:r>
              <w:rPr>
                <w:sz w:val="17"/>
              </w:rPr>
              <w:t>Pesquisadores e colaboradores cadastrados</w:t>
            </w:r>
          </w:p>
        </w:tc>
        <w:tc>
          <w:tcPr/>
          <w:p>
            <w:r>
              <w:rPr>
                <w:sz w:val="17"/>
              </w:rPr>
              <w:t>Potenciais integrantes das equipes de pesquisa - autoridade baixa / interesse alto.</w:t>
            </w:r>
          </w:p>
        </w:tc>
      </w:tr>
      <w:tr>
        <w:tc>
          <w:tcPr/>
          <w:p>
            <w:r>
              <w:rPr>
                <w:sz w:val="17"/>
              </w:rPr>
              <w:t>AC2</w:t>
            </w:r>
          </w:p>
        </w:tc>
        <w:tc>
          <w:tcPr/>
          <w:p>
            <w:r>
              <w:rPr>
                <w:sz w:val="17"/>
              </w:rPr>
              <w:t>Supervisores científicos</w:t>
            </w:r>
          </w:p>
        </w:tc>
        <w:tc>
          <w:tcPr/>
          <w:p>
            <w:r>
              <w:rPr>
                <w:sz w:val="17"/>
              </w:rPr>
              <w:t>Mestres/doutores potencialmente responsáveis pela supervisão - autoridade média / interesse alto.</w:t>
            </w:r>
          </w:p>
        </w:tc>
      </w:tr>
    </w:tbl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Restrições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sz w:val="19"/>
        </w:rPr>
        <w:t>• Prazo limitado ao calendário acadêmico de 2026.</w:t>
        <w:br/>
        <w:t>• Equipe fixa de cinco integrantes, sem contratação de recursos adicionais.</w:t>
        <w:br/>
        <w:t>• MVP acadêmico, sem orçamento empresarial aprovado para implantação produtiva.</w:t>
        <w:br/>
        <w:t>• Back-end em Python/Django/Django REST Framework e banco PostgreSQL, conforme definição técnica da equipe.</w:t>
        <w:br/>
        <w:t>• Matching restrito à rede de pesquisadores, colaboradores e supervisores previamente cadastrados e validados pela AC2; o MVP não será um marketplace público nem coletará automaticamente perfis externos.</w:t>
        <w:br/>
        <w:t>• A IA não poderá aprovar projetos, substituir avaliação científica humana ou representar decisão oficial da FAPESP.</w:t>
        <w:br/>
        <w:t>• Dados pessoais e informações de usuários deverão ser tratados conforme LGPD e regras de acesso definidas para o sistema.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Premissas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sz w:val="19"/>
        </w:rPr>
        <w:t>• A AC2 disponibilizará responsáveis para validação do fluxo, regras de negócio e critérios do MVP.</w:t>
        <w:br/>
        <w:t>• Haverá perfis e oportunidades de teste, reais anonimizados ou fictícios, suficientes para validar os módulos de IA sem exposição indevida de informações confidenciais.</w:t>
        <w:br/>
        <w:t>• A equipe terá acesso às ferramentas de desenvolvimento, versionamento e infraestrutura necessárias durante o semestre.</w:t>
        <w:br/>
        <w:t>• A equipe possui ou desenvolverá o conhecimento necessário em Django REST Framework, integração de IA, matching e avaliação de respostas geradas por modelos de linguagem.</w:t>
        <w:br/>
        <w:t>• Os documentos públicos utilizados como referência para a pré-análise PIPE/FAPESP permanecerão acessíveis; mudanças relevantes serão tratadas como alteração de requisito.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Riscos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sz w:val="19"/>
        </w:rPr>
        <w:t>• Respostas imprecisas do Copiloto de IA. Probabilidade: média. Impacto: alto. Resposta: limitar a IA a apoio/recomendação, manter validação humana e testar cenários representativos.</w:t>
        <w:br/>
        <w:t>• Matching pouco compatível devido à baixa qualidade dos perfis cadastrados. Probabilidade: média. Impacto: alto. Resposta: definir dados mínimos, validar perfis com a AC2 e medir a pertinência das sugestões.</w:t>
        <w:br/>
        <w:t>• Complexidade dos módulos de IA exceder o prazo acadêmico. Probabilidade: média. Impacto: alto. Resposta: priorizar o MVP, desenvolver incrementalmente e manter inicialmente apenas o PIPE/FAPESP como referência.</w:t>
        <w:br/>
        <w:t>• Alteração das regras/documentos do PIPE/FAPESP. Probabilidade: baixa. Impacto: médio. Resposta: versionar critérios e revisar os requisitos quando houver mudança relevante.</w:t>
        <w:br/>
        <w:t>• Dependência ou indisponibilidade de serviço/modelo externo de IA, caso adotado. Probabilidade: média. Impacto: médio. Resposta: desacoplar a integração e prever tratamento de falhas/substituição do provedor.</w:t>
        <w:br/>
        <w:t>• Indisponibilidade de integrante em etapa crítica. Probabilidade: média. Impacto: médio. Resposta: documentação compartilhada, versionamento e distribuição de conhecimento.</w:t>
        <w:br/>
        <w:t>• Exposição indevida de dados pessoais ou confidenciais. Probabilidade: baixa. Impacto: alto. Resposta: controle de acesso, minimização de dados e uso de dados anonimizados nos testes.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Orçamento do Projeto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sz w:val="19"/>
        </w:rPr>
        <w:t>Por se tratar de um projeto acadêmico, não há orçamento empresarial aprovado para o desenvolvimento. O principal custo é o tempo dedicado pela equipe. O MVP priorizará ferramentas gratuitas e de código aberto, como Python, Django, PostgreSQL e GitHub. Poderão existir custos de hospedagem e/ou consumo de serviços de IA para demonstração, preferencialmente em camadas gratuitas ou de baixo custo, com teto acadêmico estimado de até R$ 50,00 por mês durante o desenvolvimento. Uma eventual implantação produtiva na AC2 exigirá novo levantamento de custos de infraestrutura, segurança, armazenamento e consumo de IA.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tbl>
      <w:tblPr>
        <w:tblStyle w:val="Table4"/>
        <w:tblW w:w="8726.0" w:type="dxa"/>
        <w:jc w:val="left"/>
        <w:tblInd w:w="-28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717"/>
        <w:gridCol w:w="4447"/>
        <w:gridCol w:w="1562"/>
        <w:tblGridChange w:id="0">
          <w:tblGrid>
            <w:gridCol w:w="2717"/>
            <w:gridCol w:w="4447"/>
            <w:gridCol w:w="1562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7"/>
                <w:szCs w:val="24"/>
                <w:rtl w:val="0"/>
              </w:rPr>
              <w:t xml:space="preserve">Aprovações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7"/>
                <w:szCs w:val="24"/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7"/>
                <w:szCs w:val="24"/>
                <w:rtl w:val="0"/>
              </w:rPr>
              <w:t xml:space="preserve">Assinatura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7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17"/>
              </w:rPr>
              <w:t>Patrocinador do Projeto - Professor(a) Orientador(a)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>
              <w:rPr>
                <w:sz w:val="17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>
              <w:rPr>
                <w:sz w:val="17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17"/>
              </w:rPr>
              <w:t>Cliente real - Representante da AC2 Microbiologia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>
              <w:rPr>
                <w:sz w:val="17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>
              <w:rPr>
                <w:sz w:val="17"/>
              </w:rPr>
            </w:r>
          </w:p>
        </w:tc>
      </w:tr>
      <w:tr>
        <w:tc>
          <w:tcPr>
            <w:vAlign w:val="center"/>
          </w:tcPr>
          <w:p>
            <w:r>
              <w:rPr>
                <w:sz w:val="17"/>
              </w:rPr>
              <w:t>Product Owner - Lucas Pianca Soares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vAlign w:val="center"/>
          </w:tcPr>
          <w:p>
            <w:r>
              <w:rPr>
                <w:sz w:val="17"/>
              </w:rPr>
              <w:t>Charles Pereira dos Santos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vAlign w:val="center"/>
          </w:tcPr>
          <w:p>
            <w:r>
              <w:rPr>
                <w:sz w:val="17"/>
              </w:rPr>
              <w:t>Diego Pires Aragão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vAlign w:val="center"/>
          </w:tcPr>
          <w:p>
            <w:r>
              <w:rPr>
                <w:sz w:val="17"/>
              </w:rPr>
              <w:t>Quéren-Hapuque de Deus Alves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vAlign w:val="center"/>
          </w:tcPr>
          <w:p>
            <w:r>
              <w:rPr>
                <w:sz w:val="17"/>
              </w:rPr>
              <w:t>Renato Pires Filogenio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19"/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8720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4360"/>
      <w:gridCol w:w="4360"/>
      <w:tblGridChange w:id="0">
        <w:tblGrid>
          <w:gridCol w:w="4360"/>
          <w:gridCol w:w="4360"/>
        </w:tblGrid>
      </w:tblGridChange>
    </w:tblGrid>
    <w:tr>
      <w:trPr>
        <w:cantSplit w:val="0"/>
        <w:trHeight w:val="45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Termo de Abertura do Projeto</w:t>
          </w:r>
        </w:p>
      </w:tc>
      <w:tc>
        <w:tcPr>
          <w:vAlign w:val="center"/>
        </w:tcPr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jc w:val="right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Página </w:t>
          </w:r>
          <w:r w:rsidDel="00000000" w:rsidR="00000000" w:rsidRPr="00000000">
            <w:rPr>
              <w:color w:val="2440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244061"/>
              <w:rtl w:val="0"/>
            </w:rPr>
            <w:t xml:space="preserve"> de </w:t>
          </w:r>
          <w:r w:rsidDel="00000000" w:rsidR="00000000" w:rsidRPr="00000000">
            <w:rPr>
              <w:color w:val="244061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PMO Escritório de Projetos</w:t>
          </w:r>
        </w:p>
      </w:tc>
      <w:tc>
        <w:tcPr>
          <w:vAlign w:val="center"/>
        </w:tcPr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jc w:val="right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http://escritoriodeprojetos.com.br</w:t>
          </w:r>
        </w:p>
      </w:tc>
    </w:tr>
  </w:tbl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44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2"/>
      <w:gridCol w:w="1956"/>
      <w:tblGridChange w:id="0">
        <w:tblGrid>
          <w:gridCol w:w="6492"/>
          <w:gridCol w:w="1956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Rule="auto"/>
            <w:jc w:val="left"/>
            <w:rPr>
              <w:rFonts w:ascii="Arial" w:cs="Arial" w:eastAsia="Arial" w:hAnsi="Arial"/>
              <w:b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Termo de Abertura do Projeto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after="0" w:lineRule="auto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[ Seu logo ou do seu cliente ]</w:t>
          </w:r>
        </w:p>
      </w:tc>
    </w:tr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Rule="auto"/>
            <w:jc w:val="left"/>
            <w:rPr>
              <w:rFonts w:ascii="Arial" w:cs="Arial" w:eastAsia="Arial" w:hAnsi="Arial"/>
              <w:color w:val="000000"/>
            </w:rPr>
          </w:pPr>
          <w:r>
            <w:t>P&amp;D Connect - Plataforma Inteligente para Gestão e Estruturação de Projetos de P&amp;D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color w:val="1f497d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3">
    <w:basedOn w:val="TableNormal"/>
    <w:pPr>
      <w:spacing w:after="240" w:lineRule="auto"/>
      <w:jc w:val="both"/>
    </w:pPr>
    <w:rPr>
      <w:rFonts w:ascii="Times" w:cs="Times" w:eastAsia="Times" w:hAnsi="Time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5">
    <w:basedOn w:val="TableNormal"/>
    <w:pPr>
      <w:spacing w:after="240" w:lineRule="auto"/>
      <w:jc w:val="both"/>
    </w:pPr>
    <w:rPr>
      <w:rFonts w:ascii="Times" w:cs="Times" w:eastAsia="Times" w:hAnsi="Time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://escritoriodeprojetos.com.br/premissas-de-um-projeto.aspx" TargetMode="External"/><Relationship Id="rId10" Type="http://schemas.openxmlformats.org/officeDocument/2006/relationships/hyperlink" Target="http://escritoriodeprojetos.com.br/-restricoes-de-um-projeto.aspx" TargetMode="External"/><Relationship Id="rId13" Type="http://schemas.openxmlformats.org/officeDocument/2006/relationships/hyperlink" Target="http://escritoriodeprojetos.com.br/custos.aspx" TargetMode="External"/><Relationship Id="rId12" Type="http://schemas.openxmlformats.org/officeDocument/2006/relationships/hyperlink" Target="http://escritoriodeprojetos.com.br/riscos.asp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scritoriodeprojetos.com.br/SharedFiles/Download.aspx?pageid=18&amp;mid=24&amp;fileid=31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escritoriodeprojetos.com.br/documentacao-dos-requisitos.aspx" TargetMode="External"/><Relationship Id="rId7" Type="http://schemas.openxmlformats.org/officeDocument/2006/relationships/hyperlink" Target="http://escritoriodeprojetos.com.br/lista-dos-marcos.aspx" TargetMode="External"/><Relationship Id="rId8" Type="http://schemas.openxmlformats.org/officeDocument/2006/relationships/hyperlink" Target="http://escritoriodeprojetos.com.br/partes-interessada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