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0000"/>
          <w:sz w:val="44"/>
        </w:rPr>
        <w:t>P&amp;D CONNECT + AC2</w:t>
      </w:r>
    </w:p>
    <w:p>
      <w:pPr>
        <w:spacing w:after="140"/>
        <w:jc w:val="center"/>
      </w:pPr>
      <w:r>
        <w:rPr>
          <w:b/>
          <w:color w:val="000000"/>
          <w:sz w:val="22"/>
        </w:rPr>
        <w:t>Copiloto Inteligente para o Núcleo de Pesquisa e Desenvolvimento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454"/>
      </w:tblGrid>
      <w:tr>
        <w:tc>
          <w:tcPr>
            <w:tcW w:type="dxa" w:w="100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000000"/>
              </w:rPr>
              <w:t xml:space="preserve">OBJETIVO  </w:t>
            </w:r>
            <w:r>
              <w:rPr>
                <w:color w:val="000000"/>
              </w:rPr>
              <w:t>Transformar problemas externos ou ideias internas em oportunidades de pesquisa estruturadas, conectadas a uma equipe compatível e preparadas para decisão da AC2 e possível busca de fomento.</w:t>
            </w:r>
          </w:p>
        </w:tc>
      </w:tr>
    </w:tbl>
    <w:p>
      <w:pPr>
        <w:pStyle w:val="H1"/>
      </w:pPr>
      <w:r>
        <w:rPr>
          <w:color w:val="000000"/>
        </w:rPr>
        <w:t>1. Problema e proposta</w:t>
      </w:r>
    </w:p>
    <w:p>
      <w:r>
        <w:rPr>
          <w:color w:val="000000"/>
        </w:rPr>
        <w:t>Empresas podem possuir problemas reais sem equipe científica para investigá-los. Ao mesmo tempo, a AC2 pode gerar ideias de novos ensaios, produtos, processos ou tecnologias ainda sem um projeto formal. O P&amp;D Connect atua entre essa ideia inicial e a formação de uma proposta de P&amp;D.</w:t>
      </w:r>
    </w:p>
    <w:p>
      <w:r>
        <w:rPr>
          <w:color w:val="000000"/>
        </w:rPr>
        <w:t>A função do sistema é organizar o problema, identificar o que ainda falta, apoiar a construção científica da proposta e conectar a oportunidade às competências disponíveis na rede de colaboradores da AC2.</w:t>
      </w:r>
    </w:p>
    <w:p>
      <w:pPr>
        <w:pStyle w:val="H1"/>
      </w:pPr>
      <w:r>
        <w:rPr>
          <w:color w:val="000000"/>
        </w:rPr>
        <w:t>2. Duas formas de entrada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27"/>
        <w:gridCol w:w="5227"/>
      </w:tblGrid>
      <w:tr>
        <w:tc>
          <w:tcPr>
            <w:tcW w:type="dxa" w:w="4925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59" w:lineRule="auto" w:after="40"/>
            </w:pPr>
            <w:r>
              <w:rPr>
                <w:b/>
                <w:color w:val="000000"/>
              </w:rPr>
              <w:t>DEMANDA EXTERNA</w:t>
            </w:r>
          </w:p>
          <w:p>
            <w:pPr>
              <w:spacing w:after="40" w:line="259" w:lineRule="auto"/>
            </w:pPr>
            <w:r>
              <w:rPr>
                <w:color w:val="000000"/>
              </w:rPr>
              <w:t>Empresa ou organização cadastra uma dor, desafio tecnológico ou necessidade que deseja investigar.</w:t>
            </w:r>
          </w:p>
        </w:tc>
        <w:tc>
          <w:tcPr>
            <w:tcW w:type="dxa" w:w="4925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59" w:lineRule="auto" w:after="40"/>
            </w:pPr>
            <w:r>
              <w:rPr>
                <w:b/>
                <w:color w:val="000000"/>
              </w:rPr>
              <w:t>IDEIA INTERNA</w:t>
            </w:r>
          </w:p>
          <w:p>
            <w:pPr>
              <w:spacing w:after="40" w:line="259" w:lineRule="auto"/>
            </w:pPr>
            <w:r>
              <w:rPr>
                <w:color w:val="000000"/>
              </w:rPr>
              <w:t>AC2 ou colaborador cadastra uma hipótese, novo ensaio, produto, processo ou oportunidade de inovação.</w:t>
            </w:r>
          </w:p>
        </w:tc>
      </w:tr>
    </w:tbl>
    <w:p>
      <w:pPr>
        <w:pStyle w:val="H1"/>
      </w:pPr>
      <w:r>
        <w:rPr>
          <w:color w:val="000000"/>
        </w:rPr>
        <w:t>3. Como o Copiloto atua</w:t>
      </w:r>
    </w:p>
    <w:p>
      <w:pPr>
        <w:spacing w:after="40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Entende o contexto, classifica a área e identifica problema, objetivo inicial e informações ausentes.</w:t>
      </w:r>
    </w:p>
    <w:p>
      <w:pPr>
        <w:spacing w:after="40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Ajuda a estruturar hipótese, objetivos, metodologia, resultados esperados, impacto, cronograma, infraestrutura e orçamento.</w:t>
      </w:r>
    </w:p>
    <w:p>
      <w:pPr>
        <w:spacing w:after="40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Cria uma rede de apoio: faz perguntas, aponta lacunas e sugere ajustes para amadurecer a proposta.</w:t>
      </w:r>
    </w:p>
    <w:p>
      <w:pPr>
        <w:spacing w:after="40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Identifica as competências científicas e técnicas necessárias e procura perfis compatíveis na rede da AC2.</w:t>
      </w:r>
    </w:p>
    <w:p>
      <w:pPr>
        <w:spacing w:after="40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Executa uma pré-análise de maturidade para a modalidade de fomento selecionada e permite nova avaliação após melhorias.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454"/>
      </w:tblGrid>
      <w:tr>
        <w:tc>
          <w:tcPr>
            <w:tcW w:type="dxa" w:w="100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000000"/>
              </w:rPr>
              <w:t xml:space="preserve">PAPEL DA IA  </w:t>
            </w:r>
            <w:r>
              <w:rPr>
                <w:color w:val="000000"/>
              </w:rPr>
              <w:t>A IA não substitui o pesquisador nem aprova projetos. Ela funciona como copiloto: organiza, questiona, recomenda e torna explícitas as lacunas antes da decisão humana.</w:t>
            </w:r>
          </w:p>
        </w:tc>
      </w:tr>
    </w:tbl>
    <w:p>
      <w:pPr>
        <w:pStyle w:val="H1"/>
      </w:pPr>
      <w:r>
        <w:rPr>
          <w:color w:val="000000"/>
        </w:rPr>
        <w:t>4. Rede AC2</w:t>
      </w:r>
    </w:p>
    <w:p>
      <w:r>
        <w:rPr>
          <w:color w:val="000000"/>
        </w:rPr>
        <w:t>Pesquisadores e colaboradores serão previamente cadastrados e validados pela AC2. Os perfis podem reunir formação, titulação, competências, técnicas dominadas, experiência, linhas de pesquisa e disponibilidade.</w:t>
      </w:r>
    </w:p>
    <w:p>
      <w:r>
        <w:rPr>
          <w:color w:val="000000"/>
        </w:rPr>
        <w:t>O matching ocorre em duas etapas: primeiro o sistema define o conjunto de competências que a pesquisa exige; depois identifica quais pessoas da rede podem compor a equipe.</w:t>
      </w:r>
    </w:p>
    <w:p>
      <w:r>
        <w:rPr>
          <w:color w:val="000000"/>
        </w:rPr>
      </w:r>
    </w:p>
    <w:p>
      <w:r>
        <w:br w:type="page"/>
      </w:r>
    </w:p>
    <w:p>
      <w:pPr>
        <w:pStyle w:val="H1"/>
      </w:pPr>
      <w:r>
        <w:rPr>
          <w:color w:val="000000"/>
        </w:rPr>
        <w:t>5. Fluxo do projeto</w:t>
      </w:r>
    </w:p>
    <w:p>
      <w:pPr>
        <w:spacing w:after="120"/>
        <w:jc w:val="center"/>
      </w:pPr>
      <w:r>
        <w:rPr>
          <w:b/>
          <w:color w:val="000000"/>
          <w:sz w:val="18"/>
        </w:rPr>
        <w:t>PROBLEMA / IDEIA → IA → ESTRUTURAÇÃO → EQUIPE → PRÉ-ANÁLISE → MELHORIAS → AC2 → PROJETO DE P&amp;D</w:t>
      </w:r>
    </w:p>
    <w:p>
      <w:r>
        <w:rPr>
          <w:color w:val="000000"/>
        </w:rPr>
        <w:t>A AC2 permanece no centro da decisão. O sistema entrega uma oportunidade mais madura, com equipe sugerida, justificativas, lacunas e próximos passos. O Núcleo de P&amp;D decide se a proposta será revisada, arquivada ou transformada em projeto.</w:t>
      </w:r>
    </w:p>
    <w:p>
      <w:pPr>
        <w:pStyle w:val="H1"/>
      </w:pPr>
      <w:r>
        <w:rPr>
          <w:color w:val="000000"/>
        </w:rPr>
        <w:t>6. Primeiro foco: PIPE/FAPESP</w:t>
      </w:r>
    </w:p>
    <w:p>
      <w:r>
        <w:rPr>
          <w:color w:val="000000"/>
        </w:rPr>
        <w:t>O primeiro modelo de fomento será o PIPE - Pesquisa Inovativa em Pequenas Empresas. A pré-análise não será uma “nota FAPESP” genérica: ela será orientada aos elementos relevantes da modalidade.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27"/>
        <w:gridCol w:w="5227"/>
      </w:tblGrid>
      <w:tr>
        <w:tc>
          <w:tcPr>
            <w:tcW w:type="dxa" w:w="28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59" w:lineRule="auto" w:after="40"/>
            </w:pPr>
            <w:r>
              <w:rPr>
                <w:b/>
                <w:color w:val="000000"/>
              </w:rPr>
              <w:t>Desafio e inovação</w:t>
            </w:r>
          </w:p>
        </w:tc>
        <w:tc>
          <w:tcPr>
            <w:tcW w:type="dxa" w:w="705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59" w:lineRule="auto" w:after="40"/>
            </w:pPr>
            <w:r>
              <w:rPr>
                <w:color w:val="000000"/>
              </w:rPr>
              <w:t>Problema tecnológico, originalidade, diferencial e contribuição esperada.</w:t>
            </w:r>
          </w:p>
        </w:tc>
      </w:tr>
      <w:tr>
        <w:tc>
          <w:tcPr>
            <w:tcW w:type="dxa" w:w="28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59" w:lineRule="auto" w:after="40"/>
            </w:pPr>
            <w:r>
              <w:rPr>
                <w:b/>
                <w:color w:val="000000"/>
              </w:rPr>
              <w:t>Plano de pesquisa</w:t>
            </w:r>
          </w:p>
        </w:tc>
        <w:tc>
          <w:tcPr>
            <w:tcW w:type="dxa" w:w="705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59" w:lineRule="auto" w:after="40"/>
            </w:pPr>
            <w:r>
              <w:rPr>
                <w:color w:val="000000"/>
              </w:rPr>
              <w:t>Objetivos, hipótese, metodologia, experimentos, resultados e validação.</w:t>
            </w:r>
          </w:p>
        </w:tc>
      </w:tr>
      <w:tr>
        <w:tc>
          <w:tcPr>
            <w:tcW w:type="dxa" w:w="28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59" w:lineRule="auto" w:after="40"/>
            </w:pPr>
            <w:r>
              <w:rPr>
                <w:b/>
                <w:color w:val="000000"/>
              </w:rPr>
              <w:t>Equipe e infraestrutura</w:t>
            </w:r>
          </w:p>
        </w:tc>
        <w:tc>
          <w:tcPr>
            <w:tcW w:type="dxa" w:w="705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59" w:lineRule="auto" w:after="40"/>
            </w:pPr>
            <w:r>
              <w:rPr>
                <w:color w:val="000000"/>
              </w:rPr>
              <w:t>Competências, responsabilidades, instalações, equipamentos e capacidade de execução.</w:t>
            </w:r>
          </w:p>
        </w:tc>
      </w:tr>
      <w:tr>
        <w:tc>
          <w:tcPr>
            <w:tcW w:type="dxa" w:w="28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59" w:lineRule="auto" w:after="40"/>
            </w:pPr>
            <w:r>
              <w:rPr>
                <w:b/>
                <w:color w:val="000000"/>
              </w:rPr>
              <w:t>Viabilidade</w:t>
            </w:r>
          </w:p>
        </w:tc>
        <w:tc>
          <w:tcPr>
            <w:tcW w:type="dxa" w:w="705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59" w:lineRule="auto" w:after="40"/>
            </w:pPr>
            <w:r>
              <w:rPr>
                <w:color w:val="000000"/>
              </w:rPr>
              <w:t>Recursos, orçamento, aplicação, mercado, riscos e lacunas da proposta.</w:t>
            </w:r>
          </w:p>
        </w:tc>
      </w:tr>
    </w:tbl>
    <w:p>
      <w:r>
        <w:rPr>
          <w:color w:val="000000"/>
        </w:rPr>
        <w:t>O sistema poderá indicar, por exemplo, que a hipótese e a equipe estão consistentes, mas que o desenho experimental ou a justificativa de mercado ainda precisam ser aprofundados. Depois dos ajustes, a proposta pode ser analisada novamente.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454"/>
      </w:tblGrid>
      <w:tr>
        <w:tc>
          <w:tcPr>
            <w:tcW w:type="dxa" w:w="100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000000"/>
                <w:sz w:val="15"/>
              </w:rPr>
              <w:t xml:space="preserve">LIMITES  </w:t>
            </w:r>
            <w:r>
              <w:rPr>
                <w:color w:val="000000"/>
                <w:sz w:val="15"/>
              </w:rPr>
              <w:t>A pré-análise é indicativa. A AC2 decide se vale desenvolver a oportunidade; a avaliação e eventual concessão de recursos continuam sendo responsabilidade da FAPESP.</w:t>
            </w:r>
          </w:p>
        </w:tc>
      </w:tr>
    </w:tbl>
    <w:p>
      <w:pPr>
        <w:pStyle w:val="H1"/>
      </w:pPr>
      <w:r>
        <w:rPr>
          <w:color w:val="000000"/>
        </w:rPr>
        <w:t>7. Pessoas e execução</w:t>
      </w:r>
    </w:p>
    <w:p>
      <w:r>
        <w:rPr>
          <w:color w:val="000000"/>
        </w:rPr>
        <w:t>A equipe pode combinar profissionais da AC2, colaboradores previamente cadastrados e estudantes. Graduandos podem receber planos de trabalho específicos e, quando houver enquadramento e aprovação, participar por bolsas técnicas vinculadas ao projeto.</w:t>
      </w:r>
    </w:p>
    <w:p>
      <w:r>
        <w:rPr>
          <w:color w:val="000000"/>
        </w:rPr>
        <w:t>Nesse modelo, a empresa traz a dor; a AC2 oferece curadoria, estrutura e supervisão; pesquisadores conduzem a investigação; estudantes apoiam a execução; e o P&amp;D Connect organiza o processo de amadurecimento.</w:t>
      </w:r>
    </w:p>
    <w:p>
      <w:pPr>
        <w:pStyle w:val="H1"/>
      </w:pPr>
      <w:r>
        <w:rPr>
          <w:color w:val="000000"/>
        </w:rPr>
        <w:t>8. Resultado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454"/>
      </w:tblGrid>
      <w:tr>
        <w:tc>
          <w:tcPr>
            <w:tcW w:type="dxa" w:w="100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000000"/>
                <w:sz w:val="15"/>
              </w:rPr>
              <w:t xml:space="preserve">P&amp;D CONNECT  </w:t>
            </w:r>
            <w:r>
              <w:rPr>
                <w:color w:val="000000"/>
                <w:sz w:val="15"/>
              </w:rPr>
              <w:t>Transformar “temos um problema ou uma ideia” em “temos uma oportunidade de pesquisa estruturada, sabemos quem precisamos envolver, quais lacunas ainda existem e qual caminho pode ser seguido para desenvolvê-la”.</w:t>
            </w:r>
          </w:p>
        </w:tc>
      </w:tr>
    </w:tbl>
    <w:p>
      <w:r>
        <w:rPr>
          <w:color w:val="000000"/>
        </w:rPr>
      </w:r>
    </w:p>
    <w:p>
      <w:r>
        <w:br w:type="page"/>
      </w:r>
    </w:p>
    <w:p>
      <w:pPr>
        <w:spacing w:after="40" w:line="240" w:lineRule="auto"/>
        <w:jc w:val="center"/>
      </w:pPr>
      <w:r>
        <w:rPr>
          <w:b/>
          <w:color w:val="000000"/>
          <w:sz w:val="34"/>
        </w:rPr>
        <w:t>ANEXO A - BENCHMARK TÉCNICO</w:t>
      </w:r>
    </w:p>
    <w:p>
      <w:pPr>
        <w:spacing w:after="40" w:line="240" w:lineRule="auto"/>
        <w:jc w:val="center"/>
      </w:pPr>
      <w:r>
        <w:rPr>
          <w:b/>
          <w:color w:val="000000"/>
          <w:sz w:val="21"/>
        </w:rPr>
        <w:t>Efetores como nova tecnologia para o desenvolvimento de bioinsumos inovadores para proteção de cultivo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27"/>
        <w:gridCol w:w="5227"/>
      </w:tblGrid>
      <w:tr>
        <w:tc>
          <w:tcPr>
            <w:tcW w:type="dxa" w:w="2880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Processo / modalidade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24/15766-3 | Auxílio à Pesquisa - PIPE</w:t>
            </w:r>
          </w:p>
        </w:tc>
      </w:tr>
      <w:tr>
        <w:tc>
          <w:tcPr>
            <w:tcW w:type="dxa" w:w="2880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Vigência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01/07/2025 a 31/03/2026</w:t>
            </w:r>
          </w:p>
        </w:tc>
      </w:tr>
      <w:tr>
        <w:tc>
          <w:tcPr>
            <w:tcW w:type="dxa" w:w="2880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Empresa / CNAE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Ideelab Biotecnologia Ltda. | P&amp;D experimental em ciências físicas e naturais</w:t>
            </w:r>
          </w:p>
        </w:tc>
      </w:tr>
      <w:tr>
        <w:tc>
          <w:tcPr>
            <w:tcW w:type="dxa" w:w="2880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Área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Ciências Agrárias → Agronomia → Fitossanidade</w:t>
            </w:r>
          </w:p>
        </w:tc>
      </w:tr>
      <w:tr>
        <w:tc>
          <w:tcPr>
            <w:tcW w:type="dxa" w:w="2880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Liderança científica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Andréa Cristina Bogas (responsável e beneficiária) | Sérgio Florentino Pascholati (associado)</w:t>
            </w:r>
          </w:p>
        </w:tc>
      </w:tr>
      <w:tr>
        <w:tc>
          <w:tcPr>
            <w:tcW w:type="dxa" w:w="2880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Temas-chave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Controle biológico | biotecnologia | imunidade inata | efetores | ramnolipídeos</w:t>
            </w:r>
          </w:p>
        </w:tc>
      </w:tr>
    </w:tbl>
    <w:p>
      <w:pPr>
        <w:pStyle w:val="H2"/>
        <w:spacing w:after="30" w:line="240" w:lineRule="auto" w:before="60"/>
      </w:pPr>
      <w:r>
        <w:rPr>
          <w:color w:val="000000"/>
          <w:sz w:val="17"/>
        </w:rPr>
        <w:t>Problema científico e hipótese tecnológica</w:t>
      </w:r>
    </w:p>
    <w:p>
      <w:pPr>
        <w:spacing w:after="40" w:line="240" w:lineRule="auto"/>
      </w:pPr>
      <w:r>
        <w:rPr>
          <w:color w:val="000000"/>
          <w:sz w:val="17"/>
        </w:rPr>
        <w:t>A proposta explora a interação planta-microrganismo como mecanismo para indução de resistência. Proteínas efetoras, normalmente relacionadas à virulência de fitopatógenos, podem ser reconhecidas pela planta e ativar respostas imunes associadas à ETI (Effector-Triggered Immunity). Em paralelo, ramnolipídeos apresentam propriedades antimicrobianas e potencial efeito elicitor.</w:t>
      </w:r>
    </w:p>
    <w:p>
      <w:pPr>
        <w:spacing w:after="40" w:line="240" w:lineRule="auto"/>
      </w:pPr>
      <w:r>
        <w:rPr>
          <w:color w:val="000000"/>
          <w:sz w:val="17"/>
        </w:rPr>
        <w:t>A hipótese tecnológica é que proteínas efetoras selecionadas e ramnolipídeos, isolados ou combinados, possam ser convertidos em ativos biológicos capazes de estimular mecanismos de defesa das plantas contra estresses bióticos e abióticos.</w:t>
      </w:r>
    </w:p>
    <w:p>
      <w:pPr>
        <w:pStyle w:val="H2"/>
        <w:spacing w:after="30" w:line="240" w:lineRule="auto" w:before="60"/>
      </w:pPr>
      <w:r>
        <w:rPr>
          <w:color w:val="000000"/>
          <w:sz w:val="17"/>
        </w:rPr>
        <w:t>Pipeline experimental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27"/>
        <w:gridCol w:w="5227"/>
      </w:tblGrid>
      <w:tr>
        <w:tc>
          <w:tcPr>
            <w:tcW w:type="dxa" w:w="208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1. Seleção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Bioinformática e caracterização in silico para aprofundar a seleção de candidatos e chegar a 3 leads de proteínas efetoras.</w:t>
            </w:r>
          </w:p>
        </w:tc>
      </w:tr>
      <w:tr>
        <w:tc>
          <w:tcPr>
            <w:tcW w:type="dxa" w:w="208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2. Produção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Uso de sistema de expressão heteróloga para obtenção das proteínas recombinantes selecionadas.</w:t>
            </w:r>
          </w:p>
        </w:tc>
      </w:tr>
      <w:tr>
        <w:tc>
          <w:tcPr>
            <w:tcW w:type="dxa" w:w="208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3. Screening in vitro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Avaliação da atividade elicitora pela detecção de ROS em discos foliares; teste de ramnolipídeos isolados e em consórcio com proteínas.</w:t>
            </w:r>
          </w:p>
        </w:tc>
      </w:tr>
      <w:tr>
        <w:tc>
          <w:tcPr>
            <w:tcW w:type="dxa" w:w="208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4. Escalonamento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Na fase seguinte, fermentação de linhagens recombinantes em biorreatores de bancada e piloto, com capacidades de 10 L e 100 L.</w:t>
            </w:r>
          </w:p>
        </w:tc>
      </w:tr>
      <w:tr>
        <w:tc>
          <w:tcPr>
            <w:tcW w:type="dxa" w:w="208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line="228" w:lineRule="auto" w:after="0"/>
            </w:pPr>
            <w:r>
              <w:rPr>
                <w:b/>
                <w:color w:val="000000"/>
                <w:sz w:val="15"/>
              </w:rPr>
              <w:t>5. Validação biológica</w:t>
            </w:r>
          </w:p>
        </w:tc>
        <w:tc>
          <w:tcPr>
            <w:tcW w:type="dxa" w:w="7776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line="228" w:lineRule="auto" w:after="0"/>
            </w:pPr>
            <w:r>
              <w:rPr>
                <w:color w:val="000000"/>
                <w:sz w:val="15"/>
              </w:rPr>
              <w:t>Formulações otimizadas aplicadas em plantas na presença de patógeno: casa de vegetação e, posteriormente, ensaios de campo.</w:t>
            </w:r>
          </w:p>
        </w:tc>
      </w:tr>
    </w:tbl>
    <w:p>
      <w:pPr>
        <w:pStyle w:val="H2"/>
        <w:spacing w:after="30" w:line="240" w:lineRule="auto" w:before="60"/>
      </w:pPr>
      <w:r>
        <w:rPr>
          <w:color w:val="000000"/>
          <w:sz w:val="17"/>
        </w:rPr>
        <w:t>Arquitetura de equipe e bolsas</w:t>
      </w:r>
    </w:p>
    <w:p>
      <w:pPr>
        <w:spacing w:after="40" w:line="240" w:lineRule="auto"/>
      </w:pPr>
      <w:r>
        <w:rPr>
          <w:color w:val="000000"/>
          <w:sz w:val="17"/>
        </w:rPr>
        <w:t>O projeto possui liderança científica definida e pesquisador associado, além de duas bolsas BP.TT vinculadas. Uma delas está direcionada ao desenvolvimento de produtos para indução de resistência a partir de ramnolipídeos e proteínas recombinantes, incluindo análises in silico e caracterização funcional; a outra fornece suporte técnico e operacional ao desenvolvimento dos bioinsumos.</w:t>
      </w:r>
    </w:p>
    <w:p>
      <w:pPr>
        <w:pStyle w:val="H2"/>
        <w:spacing w:after="30" w:line="240" w:lineRule="auto" w:before="60"/>
      </w:pPr>
      <w:r>
        <w:rPr>
          <w:color w:val="000000"/>
          <w:sz w:val="17"/>
        </w:rPr>
        <w:t>Por que é um benchmark para o P&amp;D Connect</w:t>
      </w:r>
    </w:p>
    <w:p>
      <w:pPr>
        <w:spacing w:after="40" w:line="240" w:lineRule="auto"/>
      </w:pPr>
      <w:r>
        <w:rPr>
          <w:color w:val="000000"/>
          <w:sz w:val="17"/>
        </w:rPr>
        <w:t>Como benchmark, o caso mostra os elementos de maturidade que o P&amp;D Connect deve verificar: problema, hipótese, pipeline experimental, validação, infraestrutura, equipe, bolsas, escalonamento e aplicação.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454"/>
      </w:tblGrid>
      <w:tr>
        <w:tc>
          <w:tcPr>
            <w:tcW w:type="dxa" w:w="10008"/>
            <w:shd w:fill="F2F2F2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28" w:lineRule="auto"/>
            </w:pPr>
            <w:r>
              <w:rPr>
                <w:color w:val="000000"/>
                <w:sz w:val="15"/>
              </w:rPr>
            </w:r>
            <w:r>
              <w:rPr>
                <w:b/>
                <w:color w:val="000000"/>
                <w:sz w:val="15"/>
              </w:rPr>
              <w:t xml:space="preserve">TRADUÇÃO PARA O SISTEMA  </w:t>
            </w:r>
            <w:r>
              <w:rPr>
                <w:color w:val="000000"/>
                <w:sz w:val="15"/>
              </w:rPr>
              <w:t>O P&amp;D Connect usa este benchmark como referência para verificar a maturidade de problema, hipótese, equipe, método, validação, infraestrutura, escalonamento e aplicação.</w:t>
            </w:r>
          </w:p>
        </w:tc>
      </w:tr>
    </w:tbl>
    <w:p>
      <w:pPr>
        <w:spacing w:line="240" w:lineRule="auto" w:after="40"/>
      </w:pPr>
      <w:r>
        <w:rPr>
          <w:sz w:val="17"/>
        </w:rPr>
        <w:br w:type="page"/>
      </w:r>
    </w:p>
    <w:p>
      <w:pPr>
        <w:spacing w:after="110" w:line="276" w:lineRule="auto"/>
        <w:jc w:val="center"/>
      </w:pPr>
      <w:r>
        <w:rPr>
          <w:b/>
          <w:color w:val="000000"/>
          <w:sz w:val="34"/>
        </w:rPr>
        <w:t>ANEXO B - EDITAL DE DESAFIO DE P&amp;D</w:t>
      </w:r>
    </w:p>
    <w:p>
      <w:pPr>
        <w:spacing w:after="110" w:line="276" w:lineRule="auto"/>
        <w:jc w:val="center"/>
      </w:pPr>
      <w:r>
        <w:rPr>
          <w:b/>
          <w:color w:val="000000"/>
          <w:sz w:val="22"/>
        </w:rPr>
        <w:t>Chamada para desenvolvimento de solução de controle biológico do ácaro-rajado</w:t>
      </w:r>
    </w:p>
    <w:p>
      <w:pPr>
        <w:pStyle w:val="H1"/>
        <w:spacing w:line="276" w:lineRule="auto" w:before="200" w:after="100"/>
      </w:pPr>
      <w:r>
        <w:rPr>
          <w:b/>
          <w:color w:val="000000"/>
          <w:sz w:val="28"/>
        </w:rPr>
        <w:t>EDITAL DE CHAMADA PARA PROPOSTAS DE PESQUISA E DESENVOLVIMENTO</w:t>
      </w:r>
    </w:p>
    <w:p>
      <w:pPr>
        <w:spacing w:after="110" w:line="276" w:lineRule="auto"/>
      </w:pPr>
      <w:r>
        <w:rPr>
          <w:b/>
          <w:color w:val="000000"/>
        </w:rPr>
        <w:t xml:space="preserve">Organização demandante: </w:t>
      </w:r>
      <w:r>
        <w:rPr>
          <w:color w:val="000000"/>
        </w:rPr>
        <w:t>Promip Manejo Integrado de Pragas</w:t>
      </w:r>
    </w:p>
    <w:p>
      <w:pPr>
        <w:spacing w:after="110" w:line="276" w:lineRule="auto"/>
      </w:pPr>
      <w:r>
        <w:rPr>
          <w:b/>
          <w:color w:val="000000"/>
        </w:rPr>
        <w:t xml:space="preserve">Desafio: </w:t>
      </w:r>
      <w:r>
        <w:rPr>
          <w:color w:val="000000"/>
        </w:rPr>
        <w:t>Desenvolvimento e validação de alternativa de controle biológico para o ácaro-rajado em cultivos</w:t>
      </w:r>
    </w:p>
    <w:p>
      <w:pPr>
        <w:spacing w:after="110" w:line="276" w:lineRule="auto"/>
      </w:pPr>
      <w:r>
        <w:rPr>
          <w:b/>
          <w:color w:val="000000"/>
        </w:rPr>
        <w:t xml:space="preserve">Objetivo: </w:t>
      </w:r>
      <w:r>
        <w:rPr>
          <w:color w:val="000000"/>
        </w:rPr>
        <w:t>Selecionar empresa, instituição ou equipe de pesquisa com capacidade técnico-científica para desenvolver e validar uma solução de controle biológico para o desafio apresentado.</w:t>
      </w:r>
    </w:p>
    <w:p>
      <w:pPr>
        <w:pStyle w:val="H2"/>
        <w:spacing w:line="276" w:lineRule="auto" w:before="160" w:after="80"/>
      </w:pPr>
      <w:r>
        <w:rPr>
          <w:color w:val="000000"/>
        </w:rPr>
        <w:t>Contexto</w:t>
      </w:r>
    </w:p>
    <w:p>
      <w:pPr>
        <w:spacing w:line="276" w:lineRule="auto" w:after="110"/>
      </w:pPr>
      <w:r>
        <w:rPr>
          <w:color w:val="000000"/>
        </w:rPr>
        <w:t>A Promip busca propostas de pesquisa aplicada voltadas ao manejo do ácaro-rajado em cultivos agrícolas. As propostas deverão investigar estratégias de controle biológico com potencial para reduzir a dependência de métodos químicos e gerar uma solução tecnicamente validada, escalável e passível de aplicação comercial.</w:t>
      </w:r>
    </w:p>
    <w:p>
      <w:pPr>
        <w:pStyle w:val="H2"/>
        <w:spacing w:line="276" w:lineRule="auto" w:before="160" w:after="80"/>
      </w:pPr>
      <w:r>
        <w:rPr>
          <w:color w:val="000000"/>
        </w:rPr>
        <w:t>Perfil procurado</w:t>
      </w:r>
    </w:p>
    <w:p>
      <w:pPr>
        <w:spacing w:after="110" w:line="276" w:lineRule="auto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experiência em fitossanidade, entomologia, acarologia, controle biológico ou áreas correlatas;</w:t>
      </w:r>
    </w:p>
    <w:p>
      <w:pPr>
        <w:spacing w:after="110" w:line="276" w:lineRule="auto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capacidade de desenhar e executar ensaios experimentais;</w:t>
      </w:r>
    </w:p>
    <w:p>
      <w:pPr>
        <w:spacing w:after="110" w:line="276" w:lineRule="auto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equipe científica e técnica compatível com o desafio;</w:t>
      </w:r>
    </w:p>
    <w:p>
      <w:pPr>
        <w:spacing w:after="110" w:line="276" w:lineRule="auto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infraestrutura própria ou acesso comprovado à infraestrutura necessária;</w:t>
      </w:r>
    </w:p>
    <w:p>
      <w:pPr>
        <w:spacing w:after="110" w:line="276" w:lineRule="auto"/>
        <w:ind w:left="259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capacidade de transformar os resultados da pesquisa em produto, processo ou tecnologia.</w:t>
      </w:r>
    </w:p>
    <w:p>
      <w:pPr>
        <w:pStyle w:val="H2"/>
        <w:spacing w:line="276" w:lineRule="auto" w:before="160" w:after="80"/>
      </w:pPr>
      <w:r>
        <w:rPr>
          <w:color w:val="000000"/>
        </w:rPr>
        <w:t>Conteúdo mínimo da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27"/>
        <w:gridCol w:w="5227"/>
      </w:tblGrid>
      <w:tr>
        <w:tc>
          <w:tcPr>
            <w:tcW w:type="dxa" w:w="2808"/>
            <w:shd w:fill="F2F2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line="269" w:lineRule="auto" w:after="60"/>
            </w:pPr>
            <w:r>
              <w:rPr>
                <w:b/>
                <w:color w:val="000000"/>
              </w:rPr>
              <w:t>Hipótese</w:t>
            </w:r>
          </w:p>
        </w:tc>
        <w:tc>
          <w:tcPr>
            <w:tcW w:type="dxa" w:w="7056"/>
            <w:tcMar>
              <w:top w:w="11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line="269" w:lineRule="auto" w:after="60"/>
            </w:pPr>
            <w:r>
              <w:rPr>
                <w:color w:val="000000"/>
              </w:rPr>
              <w:t>Interpretação científica do problema e hipótese que será testada.</w:t>
            </w:r>
          </w:p>
        </w:tc>
      </w:tr>
      <w:tr>
        <w:tc>
          <w:tcPr>
            <w:tcW w:type="dxa" w:w="2808"/>
            <w:shd w:fill="F2F2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line="269" w:lineRule="auto" w:after="60"/>
            </w:pPr>
            <w:r>
              <w:rPr>
                <w:b/>
                <w:color w:val="000000"/>
              </w:rPr>
              <w:t>Solução</w:t>
            </w:r>
          </w:p>
        </w:tc>
        <w:tc>
          <w:tcPr>
            <w:tcW w:type="dxa" w:w="7056"/>
            <w:tcMar>
              <w:top w:w="11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line="269" w:lineRule="auto" w:after="60"/>
            </w:pPr>
            <w:r>
              <w:rPr>
                <w:color w:val="000000"/>
              </w:rPr>
              <w:t>Abordagem biológica ou tecnológica proposta para o desafio.</w:t>
            </w:r>
          </w:p>
        </w:tc>
      </w:tr>
      <w:tr>
        <w:tc>
          <w:tcPr>
            <w:tcW w:type="dxa" w:w="2808"/>
            <w:shd w:fill="F2F2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line="269" w:lineRule="auto" w:after="60"/>
            </w:pPr>
            <w:r>
              <w:rPr>
                <w:b/>
                <w:color w:val="000000"/>
              </w:rPr>
              <w:t>Plano experimental</w:t>
            </w:r>
          </w:p>
        </w:tc>
        <w:tc>
          <w:tcPr>
            <w:tcW w:type="dxa" w:w="7056"/>
            <w:tcMar>
              <w:top w:w="11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line="269" w:lineRule="auto" w:after="60"/>
            </w:pPr>
            <w:r>
              <w:rPr>
                <w:color w:val="000000"/>
              </w:rPr>
              <w:t>Ensaios, controles, métricas e estratégia de validação.</w:t>
            </w:r>
          </w:p>
        </w:tc>
      </w:tr>
      <w:tr>
        <w:tc>
          <w:tcPr>
            <w:tcW w:type="dxa" w:w="2808"/>
            <w:shd w:fill="F2F2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line="269" w:lineRule="auto" w:after="60"/>
            </w:pPr>
            <w:r>
              <w:rPr>
                <w:b/>
                <w:color w:val="000000"/>
              </w:rPr>
              <w:t>Equipe / estrutura</w:t>
            </w:r>
          </w:p>
        </w:tc>
        <w:tc>
          <w:tcPr>
            <w:tcW w:type="dxa" w:w="7056"/>
            <w:tcMar>
              <w:top w:w="11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line="269" w:lineRule="auto" w:after="60"/>
            </w:pPr>
            <w:r>
              <w:rPr>
                <w:color w:val="000000"/>
              </w:rPr>
              <w:t>Competências, responsáveis, equipamentos e instalações disponíveis.</w:t>
            </w:r>
          </w:p>
        </w:tc>
      </w:tr>
      <w:tr>
        <w:tc>
          <w:tcPr>
            <w:tcW w:type="dxa" w:w="2808"/>
            <w:shd w:fill="F2F2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line="269" w:lineRule="auto" w:after="60"/>
            </w:pPr>
            <w:r>
              <w:rPr>
                <w:b/>
                <w:color w:val="000000"/>
              </w:rPr>
              <w:t>Resultados</w:t>
            </w:r>
          </w:p>
        </w:tc>
        <w:tc>
          <w:tcPr>
            <w:tcW w:type="dxa" w:w="7056"/>
            <w:tcMar>
              <w:top w:w="11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line="269" w:lineRule="auto" w:after="60"/>
            </w:pPr>
            <w:r>
              <w:rPr>
                <w:color w:val="000000"/>
              </w:rPr>
              <w:t>Critérios para determinar viabilidade e continuidade do desenvolvimento.</w:t>
            </w:r>
          </w:p>
        </w:tc>
      </w:tr>
    </w:tbl>
    <w:p>
      <w:pPr>
        <w:pStyle w:val="H2"/>
        <w:spacing w:line="276" w:lineRule="auto" w:before="160" w:after="80"/>
      </w:pPr>
      <w:r>
        <w:rPr>
          <w:color w:val="000000"/>
        </w:rPr>
        <w:t>Como essa chamada entraria no P&amp;D Connect</w:t>
      </w:r>
    </w:p>
    <w:p>
      <w:pPr>
        <w:spacing w:line="276" w:lineRule="auto" w:after="110"/>
      </w:pPr>
      <w:r>
        <w:rPr>
          <w:color w:val="000000"/>
        </w:rPr>
        <w:t>As propostas recebidas serão avaliadas quanto à aderência ao desafio, consistência da hipótese, qualidade do plano experimental, qualificação da equipe, infraestrutura disponível e potencial de aplicação. A proposta selecionada poderá avançar para detalhamento do plano de pesquisa, definição da parceria e análise de alternativas de fomento.</w:t>
      </w:r>
    </w:p>
    <w:p>
      <w:pPr>
        <w:spacing w:before="80" w:after="110" w:line="276" w:lineRule="auto"/>
      </w:pPr>
      <w:r>
        <w:rPr>
          <w:b/>
          <w:color w:val="000000"/>
        </w:rPr>
        <w:t xml:space="preserve">Critérios de seleção: </w:t>
      </w:r>
      <w:r>
        <w:rPr>
          <w:color w:val="000000"/>
        </w:rPr>
        <w:t>relevância científica e tecnológica; adequação metodológica; experiência da equipe; viabilidade experimental; infraestrutura; potencial de inovação e aplicação.</w:t>
      </w:r>
    </w:p>
    <w:p>
      <w:pPr>
        <w:spacing w:line="276" w:lineRule="auto" w:after="110"/>
        <w:jc w:val="center"/>
      </w:pPr>
      <w:r>
        <w:rPr>
          <w:b/>
          <w:color w:val="000000"/>
        </w:rPr>
        <w:t>DOR → CHAMADA → PROPONENTES → ANÁLISE AC2 + IA → EQUIPE → PROJETO → PESQUISA</w:t>
      </w:r>
    </w:p>
    <w:sectPr w:rsidR="00FC693F" w:rsidRPr="0006063C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">
    <w:name w:val="H1"/>
    <w:pPr>
      <w:spacing w:before="140" w:after="60"/>
    </w:pPr>
    <w:rPr>
      <w:rFonts w:ascii="Aptos" w:hAnsi="Aptos"/>
      <w:b/>
      <w:color w:val="000000"/>
      <w:sz w:val="28"/>
    </w:rPr>
  </w:style>
  <w:style w:type="paragraph" w:customStyle="1" w:styleId="H2">
    <w:name w:val="H2"/>
    <w:pPr>
      <w:spacing w:before="140" w:after="60"/>
    </w:pPr>
    <w:rPr>
      <w:rFonts w:ascii="Aptos" w:hAnsi="Aptos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