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EAP - Eletrônica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u w:val="none"/>
        </w:rPr>
      </w:pPr>
      <w:r w:rsidDel="00000000" w:rsidR="00000000" w:rsidRPr="00000000">
        <w:rPr>
          <w:rtl w:val="0"/>
        </w:rPr>
        <w:t xml:space="preserve">Programar sensores do solo;</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Programar sensores da estação meteorológica;</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Programar módulo GPS;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Posicionar sensores do solo;</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Testar os sensores do solo;</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Posicionar a estação meteorológica e GPS;</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Testar da estação meteorológica e GPS;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Agrupar os dados;</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Verificação do envio e recebimento dos dados;</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Restrições e Metas Arquiteturais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O sistema de obtenção de dados do solo será implementado em conjunto com uma estação meteorológica capaz de fornecer dados climáticos acerca do local evitando eventuais danos causados pela intensidade do sol e de chuvas. Com isso os dados colhidos do solo serão fornecidos adequadamente para análise do agricultor. A seguir estão colocados restrições e metas para o uso adequado desse sistema:</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Os sensores de medição de umidade do solo e pH do solo são usadas para obter parâmetros necessários para identificar se o solo está apto a fazer plantações e indicar eventuais medidas corretivas.</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Os dados enviados à estação serão importantes para que o agricultor use procedimentos adequados caso precise melhorar os nutrientes do solo.</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Todos os dados obtidos pelos sensores serão enviados via LoRa para uma estação de processamento de dados em um local específico com a gerência da plantação capaz de analisar corretamente.</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