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4.2.1. Controlador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4.2.1.1. O microcontrolador deve fazer através de um algoritmo a interação entre todos os sensores e módulos GSM e GPS;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4.2.2. Sensoriamento do solo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4.2.2.1. Identificar se o solo está seco ou úmido;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4.2.2.2. Identificar se o solo está com o pH baixo(ácido), neutro ou alto(básico);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4.2.3. Sensoriamento da estação meteorológica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4.2.3.1. Identificar a umidade do ar e temperatura ambiente e pressão no local do equipamento;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4.2.3.2. Identificar o índice pluviométrico das chuvas no local do equipamento;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4.2.3.3. Identificar a velocidade do vento no local do equipamento;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4.2.4.Transmissão de dados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4.2.4.1. O GSM deve fazer a transmissão dos dados através da internet do chip de celular conectado no módulo;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4.2.4.2. Pode enviar as informações por mensagem SMS via celular;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4.2.4.3. Pode fazer e receber ligação de celular;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4.2.5.Localização do equipamento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4.2.5.1. Deve ser obtido os dados específicos acerca do local onde está o equipamento;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4.2.5.2.Deve ser obtido a localização em tempo real do equipamento;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