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Cálculo da demanda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Dimensionamento da geração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2.1 Avaliação da irradiação solar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2.2 Escolha do painel fotovoltaico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Dimensionamento do controlador de carga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Dimensionamento do banco de baterias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4.1 Autonomia sem insolação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4.2 Escolha da bateria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4.3 Profundidade de descarga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Dimensionamento do controlador de carga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proteção elétrica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condicionamento de potência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Aterramento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Dimensionamento dos cabos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Projeto elétrico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