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ETAPA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abrir eletroválvula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esperar um pouco (encher o compartimento)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sensor de nível alto atingido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acionamento do motor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ligar bomba 1 de recirculação</w:t>
        <w:br w:type="textWrapping"/>
        <w:t xml:space="preserve">esperar 15 min (saturar a reação)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desliga motor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desliga bomba</w:t>
        <w:br w:type="textWrapping"/>
        <w:t xml:space="preserve">abrir eletrovalvula 2 para o reservatório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sensor de nível baixo atingido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fecha eletrovalvula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repete o processo até o nível alto do reservatório 2 está atingido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ETAPA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nível alto reservatório 2 atingido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abrir eletroválvula 3  (para o reator)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espera um pouco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aciona pás do reator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nivel baixo reservatório 2 atingido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fechar eletroválvula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aciona dispenser Hidróxido de Cálcio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esperar tempo necessário para cair o volume correto (calcular)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desligar dispenser Hidróxido de Cálcio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ANOTAÇÃO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Tensão do motor do dispenser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Tensão das Bombas de Recirculação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Cálculo tempo para o volume necessário de Hidróxido de Cálcio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Há necessidade de uma rosca de transporte helicoidal da centrífuga para o reservatório 4?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