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Dúvidas, requisitos 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Quais normas precisamos seguir para fazer a reação química, produzir e comercializar o produto?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pesquisar as normas de iot, protocolo ipv6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normas sobre a produção, armazenagem, transporte do carbonato de cálcio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quais certificados precisamos obter para comercializar? 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Certificado de Registro Cadastral (CRC), Certificado de Licença de Funcionamento (CLF), Autorização Especial (AE)).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normas de indústria farmacêutica se enquadram no nosso produto?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seguir os protocolos de comunicação, segurança de IOT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Lista de químicos sujeitos à fiscalização: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https://www.in.gov.br/materia/-/asset_publisher/Kujrw0TZC2Mb/content/id/66952742/do1-2019-03-14-portaria-n-240-de-12-de-marco-de-2019-66952457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Orientação para conseguir certificado da polícia federal para produzir químicos: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http://www.pf.gov.br/servicos-pf/carta-de-servicos/produtos-quimicos/obter-cadastramento-e-licenca-para-controle-de-produtos-quimicos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Marcelo dos Santos Junior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