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Artigos: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ESTUDO DA ABSORÇÃO DE CO2 DE GASES EXAUSTOS DE USINAS TERMELÉTRICAS EM REATOR CILÍNDRICO CONTENDO SOLUÇÃO DE NaOH em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https://pantheon.ufrj.br/bitstream/11422/11526/1/monopoli10008950.pdf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 ESTUDO DE UMA COLUNA DE ABSORÇÃO DE DIÓXIDO 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CARBONO EM SOLUÇÃO DE HIDRÓXIDO DE SÓDIO em Pesquisas sobre o tema &gt; artigos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Impedimentos:</w:t>
      </w:r>
      <w:r w:rsidDel="00000000" w:rsidR="00000000" w:rsidRPr="00000000">
        <w:rPr>
          <w:rtl w:val="0"/>
        </w:rPr>
        <w:t xml:space="preserve"> Para obter o tempo necessário para que haja a absorção do carbono pelo NaOH é necessário saber a concentração de cada um dos reagentes e, de acordo com os artigos, quanto maior a concentração de NaOH, menos tempo o carbono levará para ser absorvido. A cinética química da reação não é abordada em nenhum dos artigos, porém, há algumas tabelas que podem ser utilizadas como base para uma aproximação de tempo, caso a opção de calcular através da concentração química dos reagentes não seja viável por questões de tempo ou de trabalho.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Abaixo encontram-se as tabelas citadas no parágrafo anterior que relaciona a porcentagem de absorção de CO2 por tempo de reação.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NaOH, 2M em coluna de acrílico que é compatível com o NaOH.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“A coluna feita de acrílico (PMMA) resiste às bases fortes, podendo aparecer algum efeito após 7 dias de exposição constante (FISHER SCITIFIC, 2013). Neste caso, só foi utilizada durante 4 horas. Além disso, não é recomendável utilizar acrílico quando trabalhar com soluções de NaOH de 60%w. Porém, a solução utilizada tinha uma concentração 2M, de modo que não houve problemas. (FISHER SCITIFIC, 2013).”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Dados: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T = 25ºC, P =1 atm.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Absorvente: Solução aquosa de NaOH, 2M. Volume: 4 litros.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Fluxo de gás: 10litros/min, 6.6% CO2.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Tempo da experiência: 217min.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pH no final da experiência: 9.45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pH final solução: 12.1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3962400" cy="39338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Com essa tabela, observa-se que a partir da amostra 11 começa a cair a porcentagem de CO2 absorvido, chegando em até 29% no final do experimento. A partir dos dados obtidos na tabela, observa-se que o tempo para que o NaOH continue absorvendo uma porcentagem maior que 90% de CO2 é de até mais ou menos 126min.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 segundo artigo, foi utilizada uma solução de NaOH com 0,1 mol/L e houve variação na alimentação de CO2 na coluna: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1a condição: 20 L min-1;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2a condição: 10 L min-1;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3a condição:  5 L min-1.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Observa-se que no segundo artigo/experimento, a quantidade de CO2 absorvida é bem menor que no primeiro e isso se dá por causa da concentração de NaOH na solução.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Proposta: </w:t>
      </w:r>
      <w:r w:rsidDel="00000000" w:rsidR="00000000" w:rsidRPr="00000000">
        <w:rPr>
          <w:rtl w:val="0"/>
        </w:rPr>
        <w:t xml:space="preserve">Para o nosso projeto, a proposta para utilização desse dado é que seja estabelecido um tempo de, por exemplo, 120min. Com esse tempo, relacionando ao resultado do primeiro artigo, tem-se a absorção de mais de 90% de CO2. Nesse caso, a solução de NaOH teria que ser “trocada(?)” ou a partir desse momento, passaria para a proxima etapa do processo.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ntheon.ufrj.br/bitstream/11422/11526/1/monopoli10008950.pdf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