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Dique de contenção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Dentro do projeto Cartago, há uma etapa de armazenamento do NAOH, classificado pela ABNT, como substâncias corrosivas ou perigosas, ele gera risco para o patrimônio físico, para o meio ambiente e saúde do funcionário. A Norma ABNT NBR 75505, prevê a instalação de diques de contenção para dar mais segurança e vazamento do líquido no ambiente.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dimensionar os diques e bacias de contenção, deve-se calcular o volume do tanque + 50% do seu volume total. O material usado no dique e seu revestimento  é de suma importância, pois ele tem que ser impermeável e ser resistente à corrosão. Foi escolhido  o Aço Inox 316, por ser utilizado na indústria química, farmacêutica e petróleo por causa de suas ótima resistência à corrosão , e suas características mecânicas para suportar o volume dimensionado quando houver necessidade.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 Estrutural ( Resumo 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solução estrutural deve ser baseada de acordo com as normas técnicas como </w:t>
      </w:r>
      <w:r w:rsidDel="00000000" w:rsidR="00000000" w:rsidRPr="00000000">
        <w:rPr>
          <w:b w:val="1"/>
          <w:rtl w:val="0"/>
        </w:rPr>
        <w:t xml:space="preserve">NBR 15762.</w:t>
      </w:r>
      <w:r w:rsidDel="00000000" w:rsidR="00000000" w:rsidRPr="00000000">
        <w:rPr>
          <w:rtl w:val="0"/>
        </w:rPr>
        <w:t xml:space="preserve"> Caso o volume dos reservatórios seja maior que 1000 L é a norma técnica  </w:t>
      </w:r>
      <w:r w:rsidDel="00000000" w:rsidR="00000000" w:rsidRPr="00000000">
        <w:rPr>
          <w:b w:val="1"/>
          <w:rtl w:val="0"/>
        </w:rPr>
        <w:t xml:space="preserve">ABNT NBR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14725-2:201 </w:t>
      </w:r>
      <w:r w:rsidDel="00000000" w:rsidR="00000000" w:rsidRPr="00000000">
        <w:rPr>
          <w:rtl w:val="0"/>
        </w:rPr>
        <w:t xml:space="preserve"> que regula, para segurança do operador e do meio ambiente 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estrutua seguir com as norma de segurança, algumas modificações devem ser feitas, como por exemplo: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local deve ser ventilado</w:t>
      </w:r>
      <w:r w:rsidDel="00000000" w:rsidR="00000000" w:rsidRPr="00000000">
        <w:rPr>
          <w:rtl w:val="0"/>
        </w:rPr>
        <w:t xml:space="preserve">, pois não pode haver névoa  provocada pelos gases liberados do contato da água com a soda.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ter Chuveiro de emergência e Lava olhos  no ambiente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o Dique de contenção caso haja ruptura do Naoh no ambiente, a exemplo a </w:t>
      </w:r>
      <w:r w:rsidDel="00000000" w:rsidR="00000000" w:rsidRPr="00000000">
        <w:rPr>
          <w:b w:val="1"/>
          <w:rtl w:val="0"/>
        </w:rPr>
        <w:t xml:space="preserve">NBR 7505</w:t>
      </w:r>
      <w:r w:rsidDel="00000000" w:rsidR="00000000" w:rsidRPr="00000000">
        <w:rPr>
          <w:rtl w:val="0"/>
        </w:rPr>
        <w:t xml:space="preserve"> para tanques grande de combustíveis– ser construídos diques de contenção para impedir qualquer derramamento ou gotejamento no meio ambiente.(</w:t>
      </w:r>
      <w:r w:rsidDel="00000000" w:rsidR="00000000" w:rsidRPr="00000000">
        <w:rPr>
          <w:b w:val="1"/>
          <w:rtl w:val="0"/>
        </w:rPr>
        <w:t xml:space="preserve">Verificar obrigatoriedade deste item</w:t>
      </w:r>
      <w:r w:rsidDel="00000000" w:rsidR="00000000" w:rsidRPr="00000000">
        <w:rPr>
          <w:rtl w:val="0"/>
        </w:rPr>
        <w:t xml:space="preserve">)  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construção dos diques Devem ser construídos em alvenaria, com resistência à pressão hidrostática e dinâmica de um esvaziamento brusco do tanque,  A área de construção deve corresponder ao volume somado dos tanques envolvidos, mais 10%, respeitando-se uma altura livre interna de aproximadamente 0,45 m, com previsão de esvaziamento por bomba de sucção. Não deve haver aberturas laterais com válvulas, e o revestimento interno deve resistir à ação química do líquido contido durante o período necessário até a remediação do respingo ou vazamento e a transferência para um vaso emergencial.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https://www.polybrasil.com.br/wp-content/uploads/2018/08/datasheet-ptfe-poli.pdf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Reservatório de carbonato de sódio e Água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 -- 192 L (OK) Concluído 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armazenar a solução de NA2CO3 não se encontra  dificuldade para a seleção de material, já que a solução não é corrosiva e não reage facilmente com qualquer substância conforme a </w:t>
      </w:r>
      <w:r w:rsidDel="00000000" w:rsidR="00000000" w:rsidRPr="00000000">
        <w:rPr>
          <w:b w:val="1"/>
          <w:i w:val="1"/>
          <w:rtl w:val="0"/>
        </w:rPr>
        <w:t xml:space="preserve">FISPQ (FICHA DE INFORMAÇÕES DE SEGURANÇA DE PRODUTOS QUÍMICOS)</w:t>
      </w:r>
      <w:r w:rsidDel="00000000" w:rsidR="00000000" w:rsidRPr="00000000">
        <w:rPr>
          <w:rtl w:val="0"/>
        </w:rPr>
        <w:t xml:space="preserve"> e conforme 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ABNT NBR 14725-2:2019   </w:t>
      </w:r>
      <w:r w:rsidDel="00000000" w:rsidR="00000000" w:rsidRPr="00000000">
        <w:rPr>
          <w:rtl w:val="0"/>
        </w:rPr>
        <w:t xml:space="preserve">essa mistura não se encaixa em produto não corrosivo, ou seja não há exigências específicas da legislação para armazenamento e transporte , somente o cuidado para manter na temperatura adequada, e  em ambiente fechado.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não temos limitação de material a ser armazenado, vamos utilizar uma solução bem conhecida da indústria, o Polietileno, especificamente o PEAD (Polietileno de Alta densidade). Material leve e de natureza não polar, ele possui alta estabilidade agentes químicos  e outros meios, sendo resistentes a soluções aquosas de sais, ácidos inorgânicos  e alcalis. Até 74 graus, os PEAD são estáveis a muitos solventes.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vamos trabalhar com NaoH em algumas partes do processo do CARTAGO, é importante assegurar que, caso o reservatório de carbonato  de sódio tenha contato com a solução, o mesmo não seja afetado quimicamente.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PEAD, tem propriedades mecânicas e térmicas que satisfazem os requisitos definidos no PC1, como mostra a Tabela abaixo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A ASTM-D1998  regra para espessura de tanques de PEAD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9.644724409449"/>
        <w:gridCol w:w="3349.4677165354333"/>
        <w:gridCol w:w="1556.3993700787405"/>
        <w:tblGridChange w:id="0">
          <w:tblGrid>
            <w:gridCol w:w="4119.644724409449"/>
            <w:gridCol w:w="3349.4677165354333"/>
            <w:gridCol w:w="1556.399370078740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Propriedades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Tensão de escoamento (Mpa)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mínima e máxima em uso contínuo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- 40 / + 90°C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de Deflexão Térmica ( Celsus)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Resistência a Bases fortes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ASTM D543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Resistente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Alongamento até a ruptura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 53452 / ASTM D638 / ISO R 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500%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Tensão de escoamento à tração (MPA)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 53455 / ASTM D638 / ISO R 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MPa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   Tabela: Propriedades mecânica e Térmicas PEAD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Segue um exemplo de desenho Técnico para fazer o CAD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Referências: </w:t>
      </w:r>
    </w:p>
    <w:p w:rsidR="00000000" w:rsidDel="00000000" w:rsidP="00000000" w:rsidRDefault="00000000" w:rsidRPr="00000000" w14:paraId="0000004B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https://incomplast.com.br/polietileno-pead/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COUTINHO, Fernanda M. B.; MELLO, Ivana L.; SANTA MARIA, Luiz C. de. Polietileno: principais tipos, propriedades e aplicações.</w:t>
      </w:r>
      <w:r w:rsidDel="00000000" w:rsidR="00000000" w:rsidRPr="00000000">
        <w:rPr>
          <w:b w:val="1"/>
          <w:sz w:val="18"/>
          <w:szCs w:val="18"/>
          <w:rtl w:val="0"/>
        </w:rPr>
        <w:t xml:space="preserve"> Polímeros</w:t>
      </w:r>
      <w:r w:rsidDel="00000000" w:rsidR="00000000" w:rsidRPr="00000000">
        <w:rPr>
          <w:sz w:val="18"/>
          <w:szCs w:val="18"/>
          <w:rtl w:val="0"/>
        </w:rPr>
        <w:t xml:space="preserve">,  São Carlos ,  v. 13, n. 1, p. 01-13,  Jan.  2003 .   Available from &lt;http://www.scielo.br/scielo.php?script=sci_arttext&amp;pid=S0104-14282003000100005&amp;lng=en&amp;nrm=iso&gt;. access on  02  Apr.  2021.  </w:t>
      </w:r>
      <w:hyperlink r:id="rId11">
        <w:r w:rsidDel="00000000" w:rsidR="00000000" w:rsidRPr="00000000">
          <w:rPr>
            <w:color w:val="555555"/>
            <w:sz w:val="18"/>
            <w:szCs w:val="18"/>
            <w:rtl w:val="0"/>
          </w:rPr>
          <w:t xml:space="preserve">https://doi.org/10.1590/S0104-14282003000100005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https://www.braskem.com.br/Portal/Principal/Arquivos/html/boletm_tecnico/Resistencia_quimica%20_PE.pdf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A ABNT NBR 14725-2:2019 equivale ao conjunto ABNT NBR 14725-2:2009 Versão corrigida:2010 e Emenda 1, de 13.06.2019. </w:t>
      </w:r>
    </w:p>
    <w:p w:rsidR="00000000" w:rsidDel="00000000" w:rsidP="00000000" w:rsidRDefault="00000000" w:rsidRPr="00000000" w14:paraId="00000054">
      <w:pPr>
        <w:jc w:val="both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https://www.hd.ind.br/PDF/H250.pdf</w:t>
      </w:r>
    </w:p>
    <w:p w:rsidR="00000000" w:rsidDel="00000000" w:rsidP="00000000" w:rsidRDefault="00000000" w:rsidRPr="00000000" w14:paraId="00000056">
      <w:pPr>
        <w:jc w:val="both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Reator Químico  3</w:t>
      </w:r>
      <w:r w:rsidDel="00000000" w:rsidR="00000000" w:rsidRPr="00000000">
        <w:rPr>
          <w:rtl w:val="0"/>
        </w:rPr>
        <w:t xml:space="preserve"> - 300 L ( Verificar com Renato solução Escolhida)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Reator irá receber o fluido de solução Na2CO3 + H20. Dentro do reator terá uma solução de Ca(OH)2, a qual irá reagir com o fluido. O reator será comportado de uma uma placa giratória que estará em constante movimento, funcionando como um agitador. A solução para o  material foi feita usando a matriz de decisão na</w:t>
      </w:r>
      <w:r w:rsidDel="00000000" w:rsidR="00000000" w:rsidRPr="00000000">
        <w:rPr>
          <w:b w:val="1"/>
          <w:i w:val="1"/>
          <w:rtl w:val="0"/>
        </w:rPr>
        <w:t xml:space="preserve"> tabela 1</w:t>
      </w:r>
      <w:r w:rsidDel="00000000" w:rsidR="00000000" w:rsidRPr="00000000">
        <w:rPr>
          <w:rtl w:val="0"/>
        </w:rPr>
        <w:t xml:space="preserve">, mistura que ocorrerá é exotérmica e libera  gases corrosivos, com isso o material tem que suporta uma temperatura de trabalho a entre 80 a 100 graus e as vibrações mecânica do reator e não pode reagir com a mistura 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temperatura de trabalho do reator precisa ser calculada, para podermos dimensionar e escolher o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Reservatório de carbonato de cálcio CACO3  -- Volume 118 L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Para o carbonato de cálcio é mesma regra conforme a</w:t>
      </w:r>
      <w:r w:rsidDel="00000000" w:rsidR="00000000" w:rsidRPr="00000000">
        <w:rPr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i w:val="1"/>
          <w:shd w:fill="fff2cc" w:val="clear"/>
          <w:rtl w:val="0"/>
        </w:rPr>
        <w:t xml:space="preserve">ABNT NBR 14725-2:2019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, </w:t>
      </w:r>
      <w:r w:rsidDel="00000000" w:rsidR="00000000" w:rsidRPr="00000000">
        <w:rPr>
          <w:shd w:fill="fff2cc" w:val="clear"/>
          <w:rtl w:val="0"/>
        </w:rPr>
        <w:t xml:space="preserve">a solução é classificada como uma mistura não reativa e não corrosiva, a escolha do material não precisa ter preocupação da regras NBR que o reservatório de NAOH tem, pois a legislação não especifica onde tem que ser armazenado, levando isso em conta podemos simplificar a busca por materiais leves, baratos e de fácil manutenção e que por algum motivo venha ter contato com a soda cáustica não venha reagir com respingos e ou vazamento</w:t>
      </w:r>
      <w:r w:rsidDel="00000000" w:rsidR="00000000" w:rsidRPr="00000000">
        <w:rPr>
          <w:rtl w:val="0"/>
        </w:rPr>
        <w:t xml:space="preserve">s 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Nesse perfil de material temos o Polietileno, mesmo material  utilizado no reservatório de Carbonato de Sódio, resistente ao NaOH e tem ótimas propriedades mecânica e térmicas que se adequam ao uso, como segue na tabela(Colocar mesma tabela do Na2CO3)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 PEAD, é um material de fácil aquisição no mercado em diversas especificações, fácil logística e baixo custo. Além disso existe uma extensa gama de estudos técnicos da PEAD, o que implica no maior conhecimento de suas propriedades e respostas devido ao seu manuseio e operação. 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 solução do Carbonato de Calcio, nao precisamos de um tanque capacidade um pouco inferior, valores mostrado abaixo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Reservatório de Hidróxido de cálcio\</w:t>
      </w:r>
    </w:p>
    <w:p w:rsidR="00000000" w:rsidDel="00000000" w:rsidP="00000000" w:rsidRDefault="00000000" w:rsidRPr="00000000" w14:paraId="00000091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Como se trata de uma substância sólida é tóxica para o ser humano, alguns cuidados precisam ser tomado na armazenagem, uso do EPi é obrigatório,</w:t>
      </w:r>
    </w:p>
    <w:p w:rsidR="00000000" w:rsidDel="00000000" w:rsidP="00000000" w:rsidRDefault="00000000" w:rsidRPr="00000000" w14:paraId="000000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Para seleção de materiais 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Reservatório de NAOH -- 121 L - Concluido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shd w:fill="ffe599" w:val="clear"/>
          <w:rtl w:val="0"/>
        </w:rPr>
        <w:t xml:space="preserve">Para o reservatório de NAOH encontramos uma série de restrições físicas e químicas e  de normas impostas pela ABNT, por ser uma material altamente corrosivo e tóxico. A soda cáustica aquosa é uma substância muito corrosiva a materiais metálicos , como Alumínio, zinco, estanho e suas ligas, conforme a FISPQ do material. Recomenda-se a usar no reservatório materiais não reativos a NAOH , como aço carbono e aço inoxidável e certos compostos termoplásticos, como PP e PVC. Mas deve-se estar atento à temperatura de trabalho e  de armazenamento do NAOH, pois em alta  temperatura ele ataca o aço em altas temperaturas de trabalho. Outro fator importante a destacar é o biológico, a mistura ataca qualquer substância orgânica, e por isso é  prejudicial ao homem, no projeto dos reservatórios deve-se ter medidas de segurança para o NaOh não vazar do reservatório. Para o projeto do reservatório foi definido uma temperatura de trabalho de 45 graus no PC1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 recomendação da FISPQ, o reservatórios que foram utilizados aço carbono ou aço inoxidável não deve passar da temperatura de 60 graus, e para os reservatórios que foram utilizar algum tipo de plásticos. tal como o polipropileno, as empresas não recomendam trabalhar com  temperatura acima de 65 graus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hd w:fill="ffe599" w:val="clear"/>
          <w:rtl w:val="0"/>
        </w:rPr>
        <w:t xml:space="preserve">evando todas as recomendações do FISPQ e da ABNT, a  tabela  traz informações dos principais materiais para essa aplicação, e traz como resultado qual o mais adequado para o projeto, utilizando pesos que podem ser traduzidos como níveis de importância.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Conforme resultado da matriz de decisão X, o PP é a melhor escolha para o projeto CARTAGO, face aos materiais analisados.Para a definição dos pesos, foi levado em consideração as necessidades do produto, facilidade de aquisição do material , modos e facilidades de fabricação e o custo de aquisição do material e do produto final. Estes pontos são destacados devido à natureza do projeto: um produto muito caro prejudica a instalação de diversas estações ao longo do terreno e o custo de material,a disponibilidade no mercado e as possibilidades de fabricação são fundamentais para o custo do produto.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 Polipropeno  é um material de fácil aquisição no mercado em diversas especificações,fácil logística, médio/baixo custo e pode ser encontrado com uma grande facilidade. Além disso, existem estudos técnicos, o que implica no maior conhecimento de suas propriedades e respostas devido ao seu manuseio e operação.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ASTM </w:t>
      </w:r>
      <w:r w:rsidDel="00000000" w:rsidR="00000000" w:rsidRPr="00000000">
        <w:rPr>
          <w:shd w:fill="ffe599" w:val="clear"/>
          <w:rtl w:val="0"/>
        </w:rPr>
        <w:t xml:space="preserve">D1998-06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7.627280656686"/>
        <w:gridCol w:w="1369.5769060733874"/>
        <w:gridCol w:w="1369.5769060733874"/>
        <w:gridCol w:w="1369.5769060733874"/>
        <w:gridCol w:w="1369.5769060733874"/>
        <w:gridCol w:w="1369.5769060733874"/>
        <w:tblGridChange w:id="0">
          <w:tblGrid>
            <w:gridCol w:w="2177.627280656686"/>
            <w:gridCol w:w="1369.5769060733874"/>
            <w:gridCol w:w="1369.5769060733874"/>
            <w:gridCol w:w="1369.5769060733874"/>
            <w:gridCol w:w="1369.5769060733874"/>
            <w:gridCol w:w="1369.5769060733874"/>
          </w:tblGrid>
        </w:tblGridChange>
      </w:tblGrid>
      <w:tr>
        <w:trPr>
          <w:trHeight w:val="315" w:hRule="atLeast"/>
        </w:trPr>
        <w:tc>
          <w:tcPr>
            <w:gridSpan w:val="6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Matriz de decisão do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Critérios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Polipropileno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Aço Inox 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Aço Duplex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Fibra de Vidro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Massa específica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Resistência mecânica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Resistência à Corrosão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https://www.grainger.com/tps/pumps_chemical_compatibility.pdf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https://www.alpinatermoplasticos.com.br/pdf/TANQUES_QUIMICOS.pdf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Contator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 desenvolvimento do contador, não temos Normas ou regras técnicas específicas na literatura, no entanto a solução que vai está no  contator é NAOH, então todo manuseio e armazenamento do  material tem que está de acordo com a ABNT NBR 14725-2:2019.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o Artigo [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]  como base teórica , o autor utiliza o PVC como material para o contactor, por ser uma solução mais barata, mais leve  e quimicamente compatível, como podemos ver na tabela abaixo.</w:t>
      </w:r>
    </w:p>
    <w:p w:rsidR="00000000" w:rsidDel="00000000" w:rsidP="00000000" w:rsidRDefault="00000000" w:rsidRPr="00000000" w14:paraId="000001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Brentwood XF12560 e Sulzer 250X são 2 soluções prontas da indústrias para Air contactor, mesmo que não sejam utilizadas , temos referencial teórico para a escolha dos materiais .</w:t>
      </w:r>
    </w:p>
    <w:p w:rsidR="00000000" w:rsidDel="00000000" w:rsidP="00000000" w:rsidRDefault="00000000" w:rsidRPr="00000000" w14:paraId="000001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fazer a escolha do material também podemos usar a tabela abaixo, como usa o artigo [</w:t>
      </w:r>
      <w:commentRangeStart w:id="1"/>
      <w:r w:rsidDel="00000000" w:rsidR="00000000" w:rsidRPr="00000000">
        <w:rPr>
          <w:rtl w:val="0"/>
        </w:rPr>
        <w:t xml:space="preserve">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] .</w:t>
      </w:r>
    </w:p>
    <w:p w:rsidR="00000000" w:rsidDel="00000000" w:rsidP="00000000" w:rsidRDefault="00000000" w:rsidRPr="00000000" w14:paraId="000001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Resistência ao Hidróxido de sódio 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 de vida maior que 20 anos 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Baixa queda de pressão  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Nao seja caro 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Resistência à incrustação </w:t>
      </w:r>
    </w:p>
    <w:p w:rsidR="00000000" w:rsidDel="00000000" w:rsidP="00000000" w:rsidRDefault="00000000" w:rsidRPr="00000000" w14:paraId="0000013C">
      <w:pPr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251413</wp:posOffset>
            </wp:positionV>
            <wp:extent cx="5731200" cy="13970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Artigo base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(X)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https://royalsocietypublishing.org/doi/10.1098/rsta.2012.0137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[y]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https://www.sciencedirect.com/science/article/pii/S1876610211003894?via%3Dihub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877372" cy="273090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372" cy="273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https://www.degruyter.com/document/doi/10.1515/gps-2017-0024/html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Fonts w:ascii="Verdana" w:cs="Verdana" w:eastAsia="Verdana" w:hAnsi="Verdana"/>
          <w:color w:val="80a8cf"/>
          <w:sz w:val="18"/>
          <w:szCs w:val="18"/>
          <w:shd w:fill="d4e4ee" w:val="clear"/>
          <w:rtl w:val="0"/>
        </w:rPr>
        <w:t xml:space="preserve">Cambier, Nicolas. </w:t>
      </w:r>
      <w:r w:rsidDel="00000000" w:rsidR="00000000" w:rsidRPr="00000000">
        <w:rPr>
          <w:rFonts w:ascii="Verdana" w:cs="Verdana" w:eastAsia="Verdana" w:hAnsi="Verdana"/>
          <w:i w:val="1"/>
          <w:color w:val="80a8cf"/>
          <w:sz w:val="18"/>
          <w:szCs w:val="18"/>
          <w:shd w:fill="d4e4ee" w:val="clear"/>
          <w:rtl w:val="0"/>
        </w:rPr>
        <w:t xml:space="preserve">Carbon dioxide capture using sodium hydroxide solution : comparison between an absorption column and a membrane contactor.</w:t>
      </w:r>
      <w:r w:rsidDel="00000000" w:rsidR="00000000" w:rsidRPr="00000000">
        <w:rPr>
          <w:rFonts w:ascii="Verdana" w:cs="Verdana" w:eastAsia="Verdana" w:hAnsi="Verdana"/>
          <w:color w:val="80a8cf"/>
          <w:sz w:val="18"/>
          <w:szCs w:val="18"/>
          <w:shd w:fill="d4e4ee" w:val="clear"/>
          <w:rtl w:val="0"/>
        </w:rPr>
        <w:t xml:space="preserve"> Ecole polytechnique de Louvain, Université catholique de Louvain, 2017. Prom. : Luis Alconero, Patricia.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shd w:fill="d4e4ee" w:val="clear"/>
            <w:rtl w:val="0"/>
          </w:rPr>
          <w:t xml:space="preserve">http://pdf.blucher.com.br.s3-sa-east-1.amazonaws.com/chemicalengineeringproceedings/cobeq2018/CO.067.pdf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shd w:fill="d4e4ee" w:val="clear"/>
            <w:rtl w:val="0"/>
          </w:rPr>
          <w:t xml:space="preserve">https://journal.gnest.org/sites/default/files/Submissions/gnest_01343/gnest_01343_published.pdf</w:t>
        </w:r>
      </w:hyperlink>
      <w:r w:rsidDel="00000000" w:rsidR="00000000" w:rsidRPr="00000000">
        <w:rPr>
          <w:rFonts w:ascii="Verdana" w:cs="Verdana" w:eastAsia="Verdana" w:hAnsi="Verdana"/>
          <w:color w:val="80a8cf"/>
          <w:sz w:val="18"/>
          <w:szCs w:val="18"/>
          <w:shd w:fill="d4e4ee" w:val="clear"/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color w:val="80a8cf"/>
          <w:sz w:val="18"/>
          <w:szCs w:val="18"/>
          <w:shd w:fill="d4e4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Tubulações e conexões 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a escolha de materiais das tubulações, temos que levar em consideração que algumas partes do projeto vão ter contato com NaOH, outras não.</w:t>
      </w:r>
    </w:p>
    <w:p w:rsidR="00000000" w:rsidDel="00000000" w:rsidP="00000000" w:rsidRDefault="00000000" w:rsidRPr="00000000" w14:paraId="0000015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padronizar o projeto vamos escolher somente um tipo de material para as tubulações.</w:t>
      </w:r>
    </w:p>
    <w:p w:rsidR="00000000" w:rsidDel="00000000" w:rsidP="00000000" w:rsidRDefault="00000000" w:rsidRPr="00000000" w14:paraId="0000015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Temos que escolher um material de uma longa vida útil, resistente ao trabalho com temperatura acima de 45 graus,  e ação do NAOH, baixo custo, fácil manutenção e usinagem .</w:t>
      </w:r>
    </w:p>
    <w:p w:rsidR="00000000" w:rsidDel="00000000" w:rsidP="00000000" w:rsidRDefault="00000000" w:rsidRPr="00000000" w14:paraId="0000015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Foi elaborada uma matriz de decisão X para escolha do material dos tubos, a tabela traz informações dos principais materiais que é utilizado para essa aplicação e o resultado mais adequado para o projeto, utilizando pesos que podem ser traduzidos em nível de prioridade.</w:t>
      </w:r>
    </w:p>
    <w:p w:rsidR="00000000" w:rsidDel="00000000" w:rsidP="00000000" w:rsidRDefault="00000000" w:rsidRPr="00000000" w14:paraId="0000015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o CPVC 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Cloriploreto de Vinila Clorado) </w:t>
      </w:r>
      <w:r w:rsidDel="00000000" w:rsidR="00000000" w:rsidRPr="00000000">
        <w:rPr>
          <w:rtl w:val="0"/>
        </w:rPr>
        <w:t xml:space="preserve"> como resultado da matriz de decisão, podemos dizer que é a melhor escolha para o projeto, por ser um material de fácil instalação e manutenção, boa resistência mecânica ,confiável para transportes de produtos químicos a altas temperaturas, até 90 graus.  Além de ser um produto de fácil aquisição no mercado.</w:t>
      </w:r>
    </w:p>
    <w:p w:rsidR="00000000" w:rsidDel="00000000" w:rsidP="00000000" w:rsidRDefault="00000000" w:rsidRPr="00000000" w14:paraId="000001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ASTM F441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4.789855813478"/>
        <w:gridCol w:w="1172.144391042029"/>
        <w:gridCol w:w="1172.144391042029"/>
        <w:gridCol w:w="1172.144391042029"/>
        <w:gridCol w:w="1172.144391042029"/>
        <w:gridCol w:w="1172.144391042029"/>
        <w:tblGridChange w:id="0">
          <w:tblGrid>
            <w:gridCol w:w="3164.789855813478"/>
            <w:gridCol w:w="1172.144391042029"/>
            <w:gridCol w:w="1172.144391042029"/>
            <w:gridCol w:w="1172.144391042029"/>
            <w:gridCol w:w="1172.144391042029"/>
            <w:gridCol w:w="1172.144391042029"/>
          </w:tblGrid>
        </w:tblGridChange>
      </w:tblGrid>
      <w:tr>
        <w:trPr>
          <w:trHeight w:val="31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Matriz de decisão do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Critérios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Polietileno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Aço Inox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Incrustação/Perda</w:t>
            </w:r>
            <w:r w:rsidDel="00000000" w:rsidR="00000000" w:rsidRPr="00000000">
              <w:rPr>
                <w:rtl w:val="0"/>
              </w:rPr>
              <w:t xml:space="preserve"> de 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Resistência</w:t>
            </w:r>
            <w:r w:rsidDel="00000000" w:rsidR="00000000" w:rsidRPr="00000000">
              <w:rPr>
                <w:rtl w:val="0"/>
              </w:rPr>
              <w:t xml:space="preserve"> mecânica/Impactos/Pressão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Resistência à</w:t>
            </w:r>
            <w:r w:rsidDel="00000000" w:rsidR="00000000" w:rsidRPr="00000000">
              <w:rPr>
                <w:rtl w:val="0"/>
              </w:rPr>
              <w:t xml:space="preserve"> Corrosão/Temperatura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Massa específica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https://www.termomecanica.com.br/calculo-da-pressao-interna-de-trabalho-para-tubos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http://ftp.demec.ufpr.br/disciplinas/TM141/Conte%FAdos/aula09_USP.pdf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Bombas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Temos 3 pontos onde temos que usar as bombas. 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Levar a substância do reservatório do carbonato de sódio para o reator,levar do reator para a centrífuga. 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 reservatório de NAOH para o contator novamente. 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usar as bombas temos que levar alguns ponto importantes em consideração, preço, gasto energético, vazão por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Para os cálculos iniciais foram realizadas para definir os requisitos mínimos para a bomba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Como o projeto tem várias etapas, com diferentes substâncias e volumes a serem transportados para cada etapa, foram divididas as etapas onde tem a necessidade de utilizar a bomba, como indica na tabela X abaixo.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320"/>
        <w:tblGridChange w:id="0">
          <w:tblGrid>
            <w:gridCol w:w="1650"/>
            <w:gridCol w:w="73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da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da fase /Estado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Transferência</w:t>
            </w:r>
            <w:r w:rsidDel="00000000" w:rsidR="00000000" w:rsidRPr="00000000">
              <w:rPr>
                <w:rtl w:val="0"/>
              </w:rPr>
              <w:t xml:space="preserve"> da Solução aquosa da calha para alimentar o filtro (Líquido)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Transferência</w:t>
            </w:r>
            <w:r w:rsidDel="00000000" w:rsidR="00000000" w:rsidRPr="00000000">
              <w:rPr>
                <w:rtl w:val="0"/>
              </w:rPr>
              <w:t xml:space="preserve"> do Reservatório de Ca Oh 2 para o reator (Sólido)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Transferência</w:t>
            </w:r>
            <w:r w:rsidDel="00000000" w:rsidR="00000000" w:rsidRPr="00000000">
              <w:rPr>
                <w:rtl w:val="0"/>
              </w:rPr>
              <w:t xml:space="preserve"> do reator para Centrífuga (líquido)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Transferência</w:t>
            </w:r>
            <w:r w:rsidDel="00000000" w:rsidR="00000000" w:rsidRPr="00000000">
              <w:rPr>
                <w:rtl w:val="0"/>
              </w:rPr>
              <w:t xml:space="preserve"> do Reservatório de NAOH para Contator (Líquido)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Tabela : numeração das fases para o cálculo inicia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Por termos vários tipos de etapas, e cada etapa precisa de uma vazão volumétrica, mostrado na tabela X , Como a vazão máxima  acontece na etapa 3, onde temos uma vazão 5.02 L/min, sendo bem maior em comparação para outras etapas, lembrando que esse cálculo é caso o sistema trabalha somente por 1hora, caso o tempo de operação seja maior, a vazão volumétrica necessária diminui consideravelmente ao adicionar tempo.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Como mostrado na tabela X, há uma diferença de propriedades de viscosidade e massa específica, por causa das diversas misturas e substâncias, temos que levar em consideração  diferentes propriedades para a escolha para a bomba de cada etapa. Como trabalhamos com misturas, não encontramos na literatura todas as propriedades físicas de cada um, por isso vamos levar em consideração para o cálculo do número de Reynolds e da perda de pressão e carga  a substância mais presente na mistura.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8.042744656918"/>
        <w:gridCol w:w="4915.6805399325085"/>
        <w:gridCol w:w="1994.4769403824523"/>
        <w:gridCol w:w="1007.3115860517436"/>
        <w:tblGridChange w:id="0">
          <w:tblGrid>
            <w:gridCol w:w="1108.042744656918"/>
            <w:gridCol w:w="4915.6805399325085"/>
            <w:gridCol w:w="1994.4769403824523"/>
            <w:gridCol w:w="1007.3115860517436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Massa específica(KG/m3)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viscosidade dinâmica(Ns/m2)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Temperatura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verificar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1.11 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 g/cm3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10.5 mpa.s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Tabela. propriedades físicas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Dimensionamento das bombas (líquidos) 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Como forma preliminar de dimensionar as bombas , temos uma série de pré-requisitos básicos para podermos fazer uma escolha, segundo o fabricante X(Schneider)  podemos dimensionar fazendo os seguintes cálculos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AMT= ( AS + AR+PC) + 5%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        AS: Altura de sucção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        AR: Altura do recalque (Diferença da altura da bomba para o ponto mais alto)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        PC: CT* Fpc%(Fator de perda de carga)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        CT: Comprimento total da tubulação .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Sendo a altura do sistema na tabela a  seguir. 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7.2018531676124"/>
        <w:gridCol w:w="5444.313675870862"/>
        <w:gridCol w:w="2353.9962819851476"/>
        <w:tblGridChange w:id="0">
          <w:tblGrid>
            <w:gridCol w:w="1227.2018531676124"/>
            <w:gridCol w:w="5444.313675870862"/>
            <w:gridCol w:w="2353.9962819851476"/>
          </w:tblGrid>
        </w:tblGridChange>
      </w:tblGrid>
      <w:tr>
        <w:trPr>
          <w:trHeight w:val="55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Comprimento da tubulação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Diferença máxima de altura (m)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http://cobeqic2019.com.br/trabalhosfinais/FTSP49.pdf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Fontes :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INCOMPLAST. POLIPROPILENO (PP). 2019. Disponível em: &lt;https://incomplast.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com.br/polipropilenopp/&gt;. Acesso em: 28  marco. 2020.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https://www.grabe.com.br/tanques-de-polipropileno.php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https://www.grabe.com.br/tanques_de_mistura.php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https://www.abntcatalogo.com.br/pdfview/viewer.aspx?Q=112BFBBEFA48709000EE1371B0469C52C31E81EBFB09BC64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sz w:val="18"/>
          <w:szCs w:val="18"/>
          <w:rtl w:val="0"/>
        </w:rPr>
        <w:t xml:space="preserve">MELLO, Lilian C.; CASTRO, Edmilson R. de; JERMOLOVICIUS, Luiz A.. METODOLOGIA EXPERIMENTAL PARA REAÇÕES GÁS-LÍQUIDO.</w:t>
      </w:r>
      <w:r w:rsidDel="00000000" w:rsidR="00000000" w:rsidRPr="00000000">
        <w:rPr>
          <w:b w:val="1"/>
          <w:sz w:val="18"/>
          <w:szCs w:val="18"/>
          <w:rtl w:val="0"/>
        </w:rPr>
        <w:t xml:space="preserve"> Quím. Nova</w:t>
      </w:r>
      <w:r w:rsidDel="00000000" w:rsidR="00000000" w:rsidRPr="00000000">
        <w:rPr>
          <w:sz w:val="18"/>
          <w:szCs w:val="18"/>
          <w:rtl w:val="0"/>
        </w:rPr>
        <w:t xml:space="preserve">,  São Paulo ,  v. 39, n. 5, p. 627-633,  June  2016 .   Available from &lt;http://www.scielo.br/scielo.php?script=sci_arttext&amp;pid=S0100-40422016000500627&amp;lng=en&amp;nrm=iso&gt;. access on  29  Mar.  2021.  </w:t>
      </w:r>
      <w:hyperlink r:id="rId28">
        <w:r w:rsidDel="00000000" w:rsidR="00000000" w:rsidRPr="00000000">
          <w:rPr>
            <w:color w:val="555555"/>
            <w:sz w:val="18"/>
            <w:szCs w:val="18"/>
            <w:rtl w:val="0"/>
          </w:rPr>
          <w:t xml:space="preserve">https://doi.org/10.5935/0100-4042.20160036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RIBEIRO, Leandro Sampaio Oliveira et al . Composição química e perdas fermentativas de silagem de cana-de-açúcar tratada com ureia ou hidróxido de sódio.</w:t>
      </w:r>
      <w:r w:rsidDel="00000000" w:rsidR="00000000" w:rsidRPr="00000000">
        <w:rPr>
          <w:b w:val="1"/>
          <w:sz w:val="18"/>
          <w:szCs w:val="18"/>
          <w:rtl w:val="0"/>
        </w:rPr>
        <w:t xml:space="preserve"> R. Bras. Zootec.</w:t>
      </w:r>
      <w:r w:rsidDel="00000000" w:rsidR="00000000" w:rsidRPr="00000000">
        <w:rPr>
          <w:sz w:val="18"/>
          <w:szCs w:val="18"/>
          <w:rtl w:val="0"/>
        </w:rPr>
        <w:t xml:space="preserve">,  Viçosa ,  v. 39, n. 9, p. 1911-1918,  set.  2010 .   Disponível em &lt;http://www.scielo.br/scielo.php?script=sci_arttext&amp;pid=S1516-35982010000900008&amp;lng=pt&amp;nrm=iso&gt;. acessos em  29  mar.  2021.  </w:t>
      </w:r>
      <w:hyperlink r:id="rId29">
        <w:r w:rsidDel="00000000" w:rsidR="00000000" w:rsidRPr="00000000">
          <w:rPr>
            <w:color w:val="555555"/>
            <w:sz w:val="18"/>
            <w:szCs w:val="18"/>
            <w:rtl w:val="0"/>
          </w:rPr>
          <w:t xml:space="preserve">https://doi.org/10.1590/S1516-35982010000900008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ESTUDO DA ABSORÇÃO DE CO2 DE GASES EXAUSTOS DE USINAS TERMELÉTRICAS EM REATOR CILÍNDRICO CONTENDO SOLUÇÃO DE NaOH </w:t>
      </w:r>
      <w:hyperlink r:id="rId3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https://pantheon.ufrj.br/bitstream/11422/11526/1/monopoli10008950.pdf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hyperlink r:id="rId3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http://lyceumonline.usf.edu.br/salavirtual/documentos/3117.pdf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 Barroso" w:id="0" w:date="2021-03-30T04:22:12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https://royalsocietypublishing.org/doi/10.1098/rsta.2012.0137</w:t>
      </w:r>
    </w:p>
  </w:comment>
  <w:comment w:author="Andre Barroso" w:id="1" w:date="2021-03-30T04:50:12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https://www.sciencedirect.com/science/article/pii/S1876610211003894?via%3Dihub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Verdan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gruyter.com/document/doi/10.1515/gps-2017-0024/html" TargetMode="External"/><Relationship Id="rId22" Type="http://schemas.openxmlformats.org/officeDocument/2006/relationships/hyperlink" Target="https://journal.gnest.org/sites/default/files/Submissions/gnest_01343/gnest_01343_published.pdf" TargetMode="External"/><Relationship Id="rId21" Type="http://schemas.openxmlformats.org/officeDocument/2006/relationships/hyperlink" Target="http://pdf.blucher.com.br.s3-sa-east-1.amazonaws.com/chemicalengineeringproceedings/cobeq2018/CO.067.pdf" TargetMode="External"/><Relationship Id="rId24" Type="http://schemas.openxmlformats.org/officeDocument/2006/relationships/hyperlink" Target="http://ftp.demec.ufpr.br/disciplinas/TM141/Conte%FAdos/aula09_USP.pdf" TargetMode="External"/><Relationship Id="rId23" Type="http://schemas.openxmlformats.org/officeDocument/2006/relationships/hyperlink" Target="https://www.termomecanica.com.br/calculo-da-pressao-interna-de-trabalho-para-tubo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26" Type="http://schemas.openxmlformats.org/officeDocument/2006/relationships/hyperlink" Target="https://www.grabe.com.br/tanques_de_mistura.php" TargetMode="External"/><Relationship Id="rId25" Type="http://schemas.openxmlformats.org/officeDocument/2006/relationships/hyperlink" Target="https://www.grabe.com.br/tanques-de-polipropileno.php" TargetMode="External"/><Relationship Id="rId28" Type="http://schemas.openxmlformats.org/officeDocument/2006/relationships/hyperlink" Target="https://doi.org/10.5935/0100-4042.20160036" TargetMode="External"/><Relationship Id="rId27" Type="http://schemas.openxmlformats.org/officeDocument/2006/relationships/hyperlink" Target="https://www.abntcatalogo.com.br/pdfview/viewer.aspx?Q=112BFBBEFA48709000EE1371B0469C52C31E81EBFB09BC6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oi.org/10.1590/S1516-35982010000900008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www.polybrasil.com.br/wp-content/uploads/2018/08/datasheet-ptfe-poli.pdf" TargetMode="External"/><Relationship Id="rId31" Type="http://schemas.openxmlformats.org/officeDocument/2006/relationships/hyperlink" Target="http://lyceumonline.usf.edu.br/salavirtual/documentos/3117.pdf" TargetMode="External"/><Relationship Id="rId30" Type="http://schemas.openxmlformats.org/officeDocument/2006/relationships/hyperlink" Target="https://pantheon.ufrj.br/bitstream/11422/11526/1/monopoli10008950.pdf" TargetMode="External"/><Relationship Id="rId11" Type="http://schemas.openxmlformats.org/officeDocument/2006/relationships/hyperlink" Target="https://doi.org/10.1590/S0104-14282003000100005" TargetMode="External"/><Relationship Id="rId10" Type="http://schemas.openxmlformats.org/officeDocument/2006/relationships/hyperlink" Target="https://incomplast.com.br/polietileno-pead/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www.braskem.com.br/Portal/Principal/Arquivos/html/boletm_tecnico/Resistencia_quimica%20_PE.pdf" TargetMode="External"/><Relationship Id="rId15" Type="http://schemas.openxmlformats.org/officeDocument/2006/relationships/hyperlink" Target="https://www.alpinatermoplasticos.com.br/pdf/TANQUES_QUIMICOS.pdf" TargetMode="External"/><Relationship Id="rId14" Type="http://schemas.openxmlformats.org/officeDocument/2006/relationships/hyperlink" Target="https://www.grainger.com/tps/pumps_chemical_compatibility.pdf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hyperlink" Target="https://royalsocietypublishing.org/doi/10.1098/rsta.2012.01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