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Empresas no mercado de CO2 + Blockchain(criptomoedas). Exemplos mais relacionados à preservação de florestas e projetos sustentáveis que emitem menos CO2 ou nenhum comparando com projetos tradicionais.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1 - Bitcoin e token(criptoativo) MCO2: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https://blog.mercadobitcoin.com.br/mco2-token-e-a-negociacao-de-creditos-de-carbono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Mercado em expansão  no Brasil: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https://tratamentodeagua.com.br/potencial-mercado-credito-carbono-brasil/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MOSS empresa que intermedia a venda do token(criptoativo) MCO2: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https://moss.earth/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2 -  Universal Carbon (UPCO2) token(criptoativo):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https://www.moneytimes.com.br/projetos-cripto-apresentam-solucoes-para-quem-deseja-reduzir-emissoes-de-carbono/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ClimateTrade: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https://www.climatetrade.com/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Rede Blockchian Algorand: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https://algorand.foundation/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Certificados: REDD+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https://redd.unfccc.int/</w:t>
        </w:r>
      </w:hyperlink>
      <w:r w:rsidDel="00000000" w:rsidR="00000000" w:rsidRPr="00000000">
        <w:rPr>
          <w:rtl w:val="0"/>
        </w:rPr>
        <w:t xml:space="preserve">) e VCU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https://verra.org/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 Cryptogreen: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https://alfonsin.com.br/empresas-e-negcios-nova-criptomoeda-vinculada-a-crditos-de-carbono/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Processo de integração de projetos que reduzem a emissão de CO2 com o mercado de Carbono e Blockchain:</w:t>
      </w:r>
      <w:r w:rsidDel="00000000" w:rsidR="00000000" w:rsidRPr="00000000">
        <w:rPr>
          <w:rtl w:val="0"/>
        </w:rPr>
        <w:t xml:space="preserve"> (Créditos de carbono no Blockchain: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https://ieeexplore-ieee-org.ez54.periodicos.capes.gov.br/document/9071536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Mecanismo de Desenvolvimento Limpo (MDL)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permite que projetos de redução de emissões em países em desenvolvimento ganhem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créditos de redução certificada de emissões (CER)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doravante denominados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créditos de carbono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cada um equivalente a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uma tonelada de CO2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[5]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,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[6]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. Esses créditos de carbono podem ser comercializados e vendidos e usados ​​por países industrializados para cumprir parte de suas metas de redução de emissões no Protocolo de Kyoto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[7]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Para que esse mecanismo seja bem-sucedido, um esquema de limite e comércio (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Esquema de Comércio de Emissões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) precisa ser seguido. Primeiro,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um limite superior ou máximo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é definido na quantidade de poluentes que um participante pode produzir e, em seguida, permite que os participantes negociem entre o excesso e a deficiência.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Com o tempo, esse limite é reduzido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para que os participantes encontrem processos mais limpos e eficientes e reduzam as emissões globais gerais. Este esquema tem a vantagem adicional de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permitir uma transição suave para políticas rigorosas de controle da poluição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que causa perturbações mínimas no mercado. Isso porque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o teto é ajustado gradativamente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proporcionando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tempo suficiente para que os participantes ajustem seus processos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internos e planejem reduções futuras. Esta é a ideia fundamental por trás do esquema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cap-and-trade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6699"/>
          <w:sz w:val="23"/>
          <w:szCs w:val="23"/>
          <w:highlight w:val="white"/>
          <w:rtl w:val="0"/>
        </w:rPr>
        <w:t xml:space="preserve">[8]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Fluxo do processo: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Geradores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são entidades que recebem licenças para compensar carbono. Essas licenças podem ser obtidas por meio da compensação de carbono ou usando um mecanismo eficiente de modo que o consumo de créditos de carbono seja menor do que o limite imposto pelo esquema de cap-and-trade. A compensação de carbono pode ser feita de várias maneiras, como plantando árvores, montando parques eólicos e realizando outras atividades que beneficiam o meio ambiente. Qualquer entidade corporativa que tenha uma quantidade excedente de créditos de carbono também pode funcionar como um gerador.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Os consumidores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são entidades corporativas que ficam aquém dos créditos de carbono dados a eles. Portanto, os consumidores de crédito de carbono precisam comprar licenças de geradores.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Issuer: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são entidades do sistema que verifica as emissões de carbono de cada indústria ou organização e decide o limite de emissão para cada ano. São eles que verificam as emissões de carbono de cada indústria, decidem o teto de emissão para cada ano e também validam e verificam a compensação de carbono do gerador.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160" w:before="0" w:line="312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bookmarkStart w:colFirst="0" w:colLast="0" w:name="_ikwf6kpyvf0m" w:id="0"/>
      <w:bookmarkEnd w:id="0"/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Issuer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decide 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limite de emissão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para a indústria por um período de tempo específico. Isso é feito por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auditoria independente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do processo industrial utilizado durante a fabricação. Então, essas licenças (que são menores que o limite total) são distribuídas entre as organizações. Essas licenças também podem ser leiloadas pelo emissor como alternativa e os recursos recebidos por meio do leilão são utilizados para patrocinar organizações de relacionamento com o meio ambiente ou pesquisas para a obtenção de mecanismos eficientes. Isso encerra a fase inicial do esquema cap-and-trade.</w:t>
      </w:r>
    </w:p>
    <w:p w:rsidR="00000000" w:rsidDel="00000000" w:rsidP="00000000" w:rsidRDefault="00000000" w:rsidRPr="00000000" w14:paraId="00000026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Se 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gerador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contribui positivamente com o meio ambiente e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apresenta a solicitação de créditos de carbono do emissor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emissor de CRE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após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verificar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as reivindicações da atividade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 emite créditos de carbono para o gerador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Este certificado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 CER é anexado aos tokens 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recém-gerados na economia e a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 transação é registrada no blockchain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Agora, se algum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consumidor exceder seus limites de emissão de carbono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ele pode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comprar CER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dos geradores por meio de uma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plataforma de comércio unificada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 Uma vez que a licença CER é adquirida pelo consumidor,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um cronômetro de expiração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começa. Este cronômetro significa 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tempo de vida da licença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 Uma vez que este cronômetro expire, a licença é retirada. Ou seja, a licença não tem valor depois que o cronômetro expira. Isso é feito para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evitar o acúmulo de créditos de carbono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 Portanto, é necessário que o consumidor que comprar essas licenças de CREs use todos esses créditos de carbono adquiridos antes que o cronômetro expire ou devolva os tokens excedentes ao vendedor.</w:t>
      </w:r>
    </w:p>
    <w:p w:rsidR="00000000" w:rsidDel="00000000" w:rsidP="00000000" w:rsidRDefault="00000000" w:rsidRPr="00000000" w14:paraId="00000028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Como o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limite de emissões para a indústria diminui a cada ano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, a quantidade desses créditos de carbono diminui drasticamente. As organizações, portanto,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highlight w:val="white"/>
          <w:rtl w:val="0"/>
        </w:rPr>
        <w:t xml:space="preserve">prefeririam investir em pesquisa e empregar mecanismos mais eficientes em vez de adquirir as autorizações de CRE caras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. Avanços na pesquisa reduziriam as emissões para muito abaixo do limite, permitindo que as indústrias de consumo gerassem créditos de carbono no futuro.</w:t>
      </w:r>
    </w:p>
    <w:p w:rsidR="00000000" w:rsidDel="00000000" w:rsidP="00000000" w:rsidRDefault="00000000" w:rsidRPr="00000000" w14:paraId="00000029">
      <w:pPr>
        <w:shd w:fill="ffffff" w:val="clear"/>
        <w:spacing w:after="340" w:lineRule="auto"/>
        <w:ind w:left="0" w:firstLine="0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Como é feito o registro de projetos que reduzem a emissão de CO2 no Brasil, obtenção do RCE …</w:t>
      </w:r>
    </w:p>
    <w:p w:rsidR="00000000" w:rsidDel="00000000" w:rsidP="00000000" w:rsidRDefault="00000000" w:rsidRPr="00000000" w14:paraId="0000002B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3"/>
            <w:szCs w:val="23"/>
            <w:highlight w:val="white"/>
            <w:u w:val="single"/>
            <w:rtl w:val="0"/>
          </w:rPr>
          <w:t xml:space="preserve">http://www.bmf.com.br/bmfbovespa/pages/mbre/faq.asp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https://www.maxwell.vrac.puc-rio.br/19432/19432.PDF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340" w:lineRule="auto"/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3"/>
            <w:szCs w:val="23"/>
            <w:highlight w:val="white"/>
            <w:u w:val="single"/>
            <w:rtl w:val="0"/>
          </w:rPr>
          <w:t xml:space="preserve">http://www.bmf.com.br/bmfbovespa/pages/mbre/faq.asp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gorand.foundation/" TargetMode="External"/><Relationship Id="rId10" Type="http://schemas.openxmlformats.org/officeDocument/2006/relationships/hyperlink" Target="https://www.climatetrade.com/" TargetMode="External"/><Relationship Id="rId13" Type="http://schemas.openxmlformats.org/officeDocument/2006/relationships/hyperlink" Target="https://verra.org/" TargetMode="External"/><Relationship Id="rId12" Type="http://schemas.openxmlformats.org/officeDocument/2006/relationships/hyperlink" Target="https://redd.unfccc.i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times.com.br/projetos-cripto-apresentam-solucoes-para-quem-deseja-reduzir-emissoes-de-carbono/" TargetMode="External"/><Relationship Id="rId15" Type="http://schemas.openxmlformats.org/officeDocument/2006/relationships/hyperlink" Target="https://ieeexplore-ieee-org.ez54.periodicos.capes.gov.br/document/9071536" TargetMode="External"/><Relationship Id="rId14" Type="http://schemas.openxmlformats.org/officeDocument/2006/relationships/hyperlink" Target="https://alfonsin.com.br/empresas-e-negcios-nova-criptomoeda-vinculada-a-crditos-de-carbono/" TargetMode="External"/><Relationship Id="rId17" Type="http://schemas.openxmlformats.org/officeDocument/2006/relationships/hyperlink" Target="https://www.maxwell.vrac.puc-rio.br/19432/19432.PDF" TargetMode="External"/><Relationship Id="rId16" Type="http://schemas.openxmlformats.org/officeDocument/2006/relationships/hyperlink" Target="http://www.bmf.com.br/bmfbovespa/pages/mbre/faq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mercadobitcoin.com.br/mco2-token-e-a-negociacao-de-creditos-de-carbono" TargetMode="External"/><Relationship Id="rId18" Type="http://schemas.openxmlformats.org/officeDocument/2006/relationships/hyperlink" Target="http://www.bmf.com.br/bmfbovespa/pages/mbre/faq.asp" TargetMode="External"/><Relationship Id="rId7" Type="http://schemas.openxmlformats.org/officeDocument/2006/relationships/hyperlink" Target="https://tratamentodeagua.com.br/potencial-mercado-credito-carbono-brasil/" TargetMode="External"/><Relationship Id="rId8" Type="http://schemas.openxmlformats.org/officeDocument/2006/relationships/hyperlink" Target="https://moss.ear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