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50"/>
          <w:sz w:val="66"/>
        </w:rPr>
        <w:t>남이섬 메타세쿼이아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남이섬 메타세쿼이아 편지지 배경 그림"/>
          <wp:cNvGraphicFramePr/>
          <a:graphic>
            <a:graphicData uri="http://schemas.openxmlformats.org/drawingml/2006/picture">
              <pic:pic>
                <pic:nvPicPr>
                  <pic:cNvPr id="0" name="place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남이섬 메타세쿼이아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