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5374"/>
          <w:sz w:val="66"/>
        </w:rPr>
        <w:t>산토리니의 파란 지붕</w:t>
      </w:r>
    </w:p>
    <w:p>
      <w:pPr>
        <w:framePr w:w="9510" w:h="540" w:hRule="exact" w:wrap="around" w:vAnchor="page" w:hAnchor="page" w:x="1200" w:y="10380"/>
        <w:tabs>
          <w:tab w:pos="9510" w:val="right"/>
        </w:tabs>
        <w:spacing w:lineRule="exact" w:line="540"/>
      </w:pPr>
      <w:r>
        <w:rPr>
          <w:b/>
          <w:color w:val="284157"/>
          <w:sz w:val="24"/>
        </w:rPr>
        <w:t xml:space="preserve">받는 사람 : </w:t>
      </w:r>
      <w:r>
        <w:rPr>
          <w:b/>
          <w:color w:val="2841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1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10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산토리니의 파란 지붕 편지지 배경 그림"/>
          <wp:cNvGraphicFramePr/>
          <a:graphic>
            <a:graphicData uri="http://schemas.openxmlformats.org/drawingml/2006/picture">
              <pic:pic>
                <pic:nvPicPr>
                  <pic:cNvPr id="0" name="place-9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산토리니의 파란 지붕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