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2"/>
          <w:sz w:val="66"/>
        </w:rPr>
        <w:t>새들의 물놀이터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들의 물놀이터 편지지 배경 그림"/>
          <wp:cNvGraphicFramePr/>
          <a:graphic>
            <a:graphicData uri="http://schemas.openxmlformats.org/drawingml/2006/picture">
              <pic:pic>
                <pic:nvPicPr>
                  <pic:cNvPr id="0" name="garden-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새들의 물놀이터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